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298"/>
      </w:tblGrid>
      <w:tr w:rsidR="00E32601" w:rsidRPr="004702CB" w:rsidTr="004702CB">
        <w:tc>
          <w:tcPr>
            <w:tcW w:w="8298" w:type="dxa"/>
            <w:shd w:val="clear" w:color="auto" w:fill="auto"/>
          </w:tcPr>
          <w:p w:rsidR="00E32601" w:rsidRDefault="00E40C71" w:rsidP="00D80802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Trip Report for TRANSSC 3</w:t>
            </w:r>
            <w:r w:rsidR="00C549D2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0103F7" w:rsidRPr="00142604" w:rsidRDefault="000103F7" w:rsidP="00D80802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and Pre-Meeting Working Groups</w:t>
            </w:r>
          </w:p>
        </w:tc>
      </w:tr>
    </w:tbl>
    <w:p w:rsidR="006B6AE1" w:rsidRDefault="006B6AE1" w:rsidP="00AE5044">
      <w:pPr>
        <w:rPr>
          <w:rFonts w:ascii="Times New Roman" w:hAnsi="Times New Roman"/>
          <w:szCs w:val="24"/>
        </w:rPr>
      </w:pPr>
    </w:p>
    <w:p w:rsidR="00BB5A39" w:rsidRDefault="00BB5A39" w:rsidP="00AE5044">
      <w:pPr>
        <w:rPr>
          <w:rFonts w:ascii="Times New Roman" w:hAnsi="Times New Roman"/>
          <w:szCs w:val="24"/>
        </w:rPr>
      </w:pPr>
    </w:p>
    <w:p w:rsidR="00E40C71" w:rsidRPr="00E13C49" w:rsidRDefault="00497F74" w:rsidP="00BB5A39">
      <w:pPr>
        <w:ind w:left="-360" w:right="-310"/>
        <w:rPr>
          <w:rFonts w:ascii="Times" w:hAnsi="Times"/>
          <w:szCs w:val="24"/>
        </w:rPr>
      </w:pPr>
      <w:r>
        <w:rPr>
          <w:rFonts w:ascii="Times" w:hAnsi="Times" w:cs="Arial"/>
          <w:szCs w:val="24"/>
        </w:rPr>
        <w:t xml:space="preserve">TRANSSC </w:t>
      </w:r>
      <w:r w:rsidR="00BB5A39" w:rsidRPr="00E13C49">
        <w:rPr>
          <w:rFonts w:ascii="Times" w:hAnsi="Times" w:cs="Arial"/>
          <w:szCs w:val="24"/>
        </w:rPr>
        <w:t>3</w:t>
      </w:r>
      <w:r w:rsidR="008D31E2">
        <w:rPr>
          <w:rFonts w:ascii="Times" w:hAnsi="Times" w:cs="Arial"/>
          <w:szCs w:val="24"/>
        </w:rPr>
        <w:t>5</w:t>
      </w:r>
      <w:r w:rsidR="00BB5A39" w:rsidRPr="00E13C49">
        <w:rPr>
          <w:rFonts w:ascii="Times" w:hAnsi="Times" w:cs="Arial"/>
          <w:szCs w:val="24"/>
        </w:rPr>
        <w:t xml:space="preserve"> was held </w:t>
      </w:r>
      <w:r w:rsidR="008D31E2">
        <w:rPr>
          <w:rFonts w:ascii="Times" w:hAnsi="Times" w:cs="Arial"/>
          <w:szCs w:val="24"/>
        </w:rPr>
        <w:t>between</w:t>
      </w:r>
      <w:r w:rsidR="00BB5A39" w:rsidRPr="00E13C49">
        <w:rPr>
          <w:rFonts w:ascii="Times" w:hAnsi="Times" w:cs="Arial"/>
          <w:szCs w:val="24"/>
        </w:rPr>
        <w:t xml:space="preserve"> </w:t>
      </w:r>
      <w:r w:rsidR="008D31E2">
        <w:rPr>
          <w:rFonts w:ascii="Times" w:hAnsi="Times" w:cs="Arial"/>
          <w:szCs w:val="24"/>
        </w:rPr>
        <w:t>December</w:t>
      </w:r>
      <w:r w:rsidR="00BB5A39" w:rsidRPr="00E13C49">
        <w:rPr>
          <w:rFonts w:ascii="Times" w:hAnsi="Times" w:cs="Arial"/>
          <w:szCs w:val="24"/>
        </w:rPr>
        <w:t xml:space="preserve"> 1</w:t>
      </w:r>
      <w:r w:rsidR="008D31E2">
        <w:rPr>
          <w:rFonts w:ascii="Times" w:hAnsi="Times" w:cs="Arial"/>
          <w:szCs w:val="24"/>
        </w:rPr>
        <w:t>3</w:t>
      </w:r>
      <w:proofErr w:type="spellStart"/>
      <w:r w:rsidR="00BB5A39" w:rsidRPr="00E13C49">
        <w:rPr>
          <w:rFonts w:ascii="Times" w:hAnsi="Times" w:cs="Arial"/>
          <w:position w:val="8"/>
          <w:szCs w:val="24"/>
          <w:vertAlign w:val="superscript"/>
        </w:rPr>
        <w:t>th</w:t>
      </w:r>
      <w:proofErr w:type="spellEnd"/>
      <w:r w:rsidR="00BB5A39" w:rsidRPr="00E13C49">
        <w:rPr>
          <w:rFonts w:ascii="Times" w:hAnsi="Times" w:cs="Arial"/>
          <w:position w:val="8"/>
          <w:szCs w:val="24"/>
          <w:vertAlign w:val="superscript"/>
        </w:rPr>
        <w:t xml:space="preserve"> </w:t>
      </w:r>
      <w:r w:rsidR="00BB5A39" w:rsidRPr="00E13C49">
        <w:rPr>
          <w:rFonts w:ascii="Times" w:hAnsi="Times" w:cs="Arial"/>
          <w:szCs w:val="24"/>
        </w:rPr>
        <w:t>and 1</w:t>
      </w:r>
      <w:r w:rsidR="008D31E2">
        <w:rPr>
          <w:rFonts w:ascii="Times" w:hAnsi="Times" w:cs="Arial"/>
          <w:szCs w:val="24"/>
        </w:rPr>
        <w:t>5</w:t>
      </w:r>
      <w:proofErr w:type="spellStart"/>
      <w:r w:rsidR="00BB5A39" w:rsidRPr="00E13C49">
        <w:rPr>
          <w:rFonts w:ascii="Times" w:hAnsi="Times" w:cs="Arial"/>
          <w:position w:val="8"/>
          <w:szCs w:val="24"/>
          <w:vertAlign w:val="superscript"/>
        </w:rPr>
        <w:t>th</w:t>
      </w:r>
      <w:proofErr w:type="spellEnd"/>
      <w:r w:rsidR="00BB5A39" w:rsidRPr="00E13C49">
        <w:rPr>
          <w:rFonts w:ascii="Times" w:hAnsi="Times" w:cs="Arial"/>
          <w:szCs w:val="24"/>
        </w:rPr>
        <w:t xml:space="preserve">. </w:t>
      </w:r>
      <w:r w:rsidR="008D31E2">
        <w:rPr>
          <w:rFonts w:ascii="Times" w:hAnsi="Times" w:cs="Arial"/>
          <w:szCs w:val="24"/>
        </w:rPr>
        <w:t xml:space="preserve"> Four</w:t>
      </w:r>
      <w:r w:rsidR="00BB5A39" w:rsidRPr="00E13C49">
        <w:rPr>
          <w:rFonts w:ascii="Times" w:hAnsi="Times" w:cs="Arial"/>
          <w:szCs w:val="24"/>
        </w:rPr>
        <w:t xml:space="preserve"> working groups preceded the TRANSSC meeting on </w:t>
      </w:r>
      <w:r w:rsidR="008D31E2">
        <w:rPr>
          <w:rFonts w:ascii="Times" w:hAnsi="Times" w:cs="Arial"/>
          <w:szCs w:val="24"/>
        </w:rPr>
        <w:t>December</w:t>
      </w:r>
      <w:r w:rsidR="00BB5A39" w:rsidRPr="00E13C49">
        <w:rPr>
          <w:rFonts w:ascii="Times" w:hAnsi="Times" w:cs="Arial"/>
          <w:szCs w:val="24"/>
        </w:rPr>
        <w:t xml:space="preserve"> 1</w:t>
      </w:r>
      <w:r w:rsidR="008D31E2">
        <w:rPr>
          <w:rFonts w:ascii="Times" w:hAnsi="Times" w:cs="Arial"/>
          <w:szCs w:val="24"/>
        </w:rPr>
        <w:t>1</w:t>
      </w:r>
      <w:r w:rsidR="00BB5A39" w:rsidRPr="00E13C49">
        <w:rPr>
          <w:rFonts w:ascii="Times" w:hAnsi="Times" w:cs="Arial"/>
          <w:szCs w:val="24"/>
          <w:vertAlign w:val="superscript"/>
        </w:rPr>
        <w:t>th</w:t>
      </w:r>
      <w:r w:rsidR="00BB5A39" w:rsidRPr="00E13C49">
        <w:rPr>
          <w:rFonts w:ascii="Times" w:hAnsi="Times" w:cs="Arial"/>
          <w:szCs w:val="24"/>
        </w:rPr>
        <w:t xml:space="preserve"> and 1</w:t>
      </w:r>
      <w:r w:rsidR="008D31E2">
        <w:rPr>
          <w:rFonts w:ascii="Times" w:hAnsi="Times" w:cs="Arial"/>
          <w:szCs w:val="24"/>
        </w:rPr>
        <w:t>2</w:t>
      </w:r>
      <w:r w:rsidR="00BB5A39" w:rsidRPr="00E13C49">
        <w:rPr>
          <w:rFonts w:ascii="Times" w:hAnsi="Times" w:cs="Arial"/>
          <w:szCs w:val="24"/>
          <w:vertAlign w:val="superscript"/>
        </w:rPr>
        <w:t>th</w:t>
      </w:r>
      <w:r w:rsidR="00BB5A39" w:rsidRPr="00E13C49">
        <w:rPr>
          <w:rFonts w:ascii="Times" w:hAnsi="Times" w:cs="Arial"/>
          <w:szCs w:val="24"/>
        </w:rPr>
        <w:t xml:space="preserve">.  The working </w:t>
      </w:r>
      <w:proofErr w:type="gramStart"/>
      <w:r w:rsidR="00BB5A39" w:rsidRPr="00E13C49">
        <w:rPr>
          <w:rFonts w:ascii="Times" w:hAnsi="Times" w:cs="Arial"/>
          <w:szCs w:val="24"/>
        </w:rPr>
        <w:t>groups</w:t>
      </w:r>
      <w:proofErr w:type="gramEnd"/>
      <w:r w:rsidR="00BB5A39" w:rsidRPr="00E13C49">
        <w:rPr>
          <w:rFonts w:ascii="Times" w:hAnsi="Times" w:cs="Arial"/>
          <w:szCs w:val="24"/>
        </w:rPr>
        <w:t xml:space="preserve"> topics were; A1/A2 Values, </w:t>
      </w:r>
      <w:r w:rsidR="00AF2C01">
        <w:rPr>
          <w:rFonts w:ascii="Times" w:hAnsi="Times" w:cs="Arial"/>
          <w:szCs w:val="24"/>
        </w:rPr>
        <w:t xml:space="preserve">20% Increase in Dose Rate during NCT, </w:t>
      </w:r>
      <w:r w:rsidR="00BB5A39" w:rsidRPr="00E13C49">
        <w:rPr>
          <w:rFonts w:ascii="Times" w:hAnsi="Times" w:cs="Arial"/>
          <w:szCs w:val="24"/>
        </w:rPr>
        <w:t>NORM and Criticality.  The</w:t>
      </w:r>
      <w:r w:rsidR="00AF2C01">
        <w:rPr>
          <w:rFonts w:ascii="Times" w:hAnsi="Times" w:cs="Arial"/>
          <w:szCs w:val="24"/>
        </w:rPr>
        <w:t xml:space="preserve"> </w:t>
      </w:r>
      <w:r w:rsidR="00AF2C01" w:rsidRPr="00E13C49">
        <w:rPr>
          <w:rFonts w:ascii="Times" w:hAnsi="Times" w:cs="Arial"/>
          <w:szCs w:val="24"/>
        </w:rPr>
        <w:t>Inter-Agency Group (IAG)</w:t>
      </w:r>
      <w:r w:rsidR="00AF2C01">
        <w:rPr>
          <w:rFonts w:ascii="Times" w:hAnsi="Times" w:cs="Arial"/>
          <w:szCs w:val="24"/>
        </w:rPr>
        <w:t xml:space="preserve"> also met during this time.</w:t>
      </w:r>
      <w:r w:rsidR="00BB5A39" w:rsidRPr="00E13C49">
        <w:rPr>
          <w:rFonts w:ascii="Times" w:hAnsi="Times" w:cs="Arial"/>
          <w:szCs w:val="24"/>
        </w:rPr>
        <w:t xml:space="preserve">  I attended the </w:t>
      </w:r>
      <w:r w:rsidR="00AF2C01" w:rsidRPr="00AF2C01">
        <w:rPr>
          <w:rFonts w:ascii="Times" w:hAnsi="Times" w:cs="Arial"/>
          <w:szCs w:val="24"/>
        </w:rPr>
        <w:t xml:space="preserve">20% Increase in Dose Rate during NCT </w:t>
      </w:r>
      <w:r w:rsidR="00BB5A39" w:rsidRPr="00E13C49">
        <w:rPr>
          <w:rFonts w:ascii="Times" w:hAnsi="Times" w:cs="Arial"/>
          <w:szCs w:val="24"/>
        </w:rPr>
        <w:t>working group</w:t>
      </w:r>
      <w:r w:rsidR="00AF2C01">
        <w:rPr>
          <w:rFonts w:ascii="Times" w:hAnsi="Times" w:cs="Arial"/>
          <w:szCs w:val="24"/>
        </w:rPr>
        <w:t>.</w:t>
      </w:r>
    </w:p>
    <w:tbl>
      <w:tblPr>
        <w:tblW w:w="103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9820"/>
      </w:tblGrid>
      <w:tr w:rsidR="00AE5044" w:rsidRPr="00E13C49" w:rsidTr="00436E02">
        <w:trPr>
          <w:jc w:val="center"/>
        </w:trPr>
        <w:tc>
          <w:tcPr>
            <w:tcW w:w="10360" w:type="dxa"/>
            <w:gridSpan w:val="2"/>
            <w:shd w:val="clear" w:color="auto" w:fill="auto"/>
          </w:tcPr>
          <w:p w:rsidR="00AE5044" w:rsidRPr="00E13C49" w:rsidRDefault="00AE5044" w:rsidP="00D80802">
            <w:pPr>
              <w:spacing w:before="40"/>
              <w:rPr>
                <w:rFonts w:ascii="Times" w:eastAsia="Times New Roman" w:hAnsi="Times"/>
                <w:szCs w:val="24"/>
              </w:rPr>
            </w:pPr>
          </w:p>
          <w:p w:rsidR="00E13C49" w:rsidRPr="00E13C49" w:rsidRDefault="00E13C49" w:rsidP="00E13C49">
            <w:pPr>
              <w:spacing w:before="40"/>
              <w:ind w:left="540"/>
              <w:rPr>
                <w:rFonts w:ascii="Times" w:eastAsia="Times New Roman" w:hAnsi="Times"/>
                <w:b/>
                <w:szCs w:val="24"/>
              </w:rPr>
            </w:pPr>
            <w:r w:rsidRPr="00E13C49">
              <w:rPr>
                <w:rFonts w:ascii="Times" w:eastAsia="Times New Roman" w:hAnsi="Times"/>
                <w:b/>
                <w:szCs w:val="24"/>
              </w:rPr>
              <w:t>Pre-TRANSSC Meetings</w:t>
            </w:r>
          </w:p>
          <w:p w:rsidR="00E13C49" w:rsidRPr="00E13C49" w:rsidRDefault="00E13C49" w:rsidP="00E13C49">
            <w:pPr>
              <w:spacing w:before="40"/>
              <w:ind w:left="540"/>
              <w:rPr>
                <w:rFonts w:ascii="Times" w:eastAsia="Times New Roman" w:hAnsi="Times"/>
                <w:szCs w:val="24"/>
              </w:rPr>
            </w:pPr>
          </w:p>
        </w:tc>
      </w:tr>
      <w:tr w:rsidR="00C65B3D" w:rsidRPr="00E13C49" w:rsidTr="00436E02">
        <w:trPr>
          <w:jc w:val="center"/>
        </w:trPr>
        <w:tc>
          <w:tcPr>
            <w:tcW w:w="540" w:type="dxa"/>
            <w:shd w:val="clear" w:color="auto" w:fill="auto"/>
          </w:tcPr>
          <w:p w:rsidR="00C65B3D" w:rsidRPr="00E13C49" w:rsidRDefault="00C65B3D" w:rsidP="002E4046">
            <w:pPr>
              <w:spacing w:before="40"/>
              <w:jc w:val="right"/>
              <w:rPr>
                <w:rFonts w:ascii="Times" w:hAnsi="Times"/>
                <w:szCs w:val="24"/>
              </w:rPr>
            </w:pPr>
          </w:p>
        </w:tc>
        <w:tc>
          <w:tcPr>
            <w:tcW w:w="9820" w:type="dxa"/>
            <w:shd w:val="clear" w:color="auto" w:fill="auto"/>
          </w:tcPr>
          <w:p w:rsidR="00C65B3D" w:rsidRPr="00E13C49" w:rsidRDefault="00BB5A39" w:rsidP="00C65B3D">
            <w:pPr>
              <w:spacing w:before="40"/>
              <w:rPr>
                <w:rFonts w:ascii="Times" w:hAnsi="Times" w:cs="Arial"/>
                <w:szCs w:val="24"/>
              </w:rPr>
            </w:pPr>
            <w:r w:rsidRPr="00E13C49">
              <w:rPr>
                <w:rFonts w:ascii="Times" w:hAnsi="Times" w:cs="Arial"/>
                <w:szCs w:val="24"/>
              </w:rPr>
              <w:t>A1/A2 Values –</w:t>
            </w:r>
            <w:r w:rsidR="00E13C49">
              <w:rPr>
                <w:rFonts w:ascii="Times" w:hAnsi="Times" w:cs="Arial"/>
                <w:szCs w:val="24"/>
              </w:rPr>
              <w:t xml:space="preserve"> </w:t>
            </w:r>
            <w:r w:rsidRPr="00E13C49">
              <w:rPr>
                <w:rFonts w:ascii="Times" w:hAnsi="Times" w:cs="Arial"/>
                <w:szCs w:val="24"/>
              </w:rPr>
              <w:t xml:space="preserve">This was the </w:t>
            </w:r>
            <w:r w:rsidR="00AF2C01">
              <w:rPr>
                <w:rFonts w:ascii="Times" w:hAnsi="Times" w:cs="Arial"/>
                <w:szCs w:val="24"/>
              </w:rPr>
              <w:t>9</w:t>
            </w:r>
            <w:r w:rsidRPr="00E13C49">
              <w:rPr>
                <w:rFonts w:ascii="Times" w:hAnsi="Times" w:cs="Arial"/>
                <w:szCs w:val="24"/>
                <w:vertAlign w:val="superscript"/>
              </w:rPr>
              <w:t>th</w:t>
            </w:r>
            <w:r w:rsidRPr="00E13C49">
              <w:rPr>
                <w:rFonts w:ascii="Times" w:hAnsi="Times" w:cs="Arial"/>
                <w:szCs w:val="24"/>
              </w:rPr>
              <w:t xml:space="preserve"> meeting of the working group</w:t>
            </w:r>
            <w:r w:rsidR="00E13C49">
              <w:rPr>
                <w:rFonts w:ascii="Times" w:hAnsi="Times" w:cs="Arial"/>
                <w:szCs w:val="24"/>
              </w:rPr>
              <w:t xml:space="preserve">.  </w:t>
            </w:r>
            <w:r w:rsidR="00AF2C01">
              <w:rPr>
                <w:rFonts w:ascii="Times" w:hAnsi="Times" w:cs="Arial"/>
                <w:szCs w:val="24"/>
              </w:rPr>
              <w:t>The group continues to evaluate the various Q values independently</w:t>
            </w:r>
            <w:r w:rsidR="009A3894">
              <w:rPr>
                <w:rFonts w:ascii="Times" w:hAnsi="Times" w:cs="Arial"/>
                <w:szCs w:val="24"/>
              </w:rPr>
              <w:t xml:space="preserve">. </w:t>
            </w:r>
            <w:r w:rsidRPr="00E13C49">
              <w:rPr>
                <w:rFonts w:ascii="Times" w:hAnsi="Times" w:cs="Arial"/>
                <w:szCs w:val="24"/>
              </w:rPr>
              <w:t xml:space="preserve"> The group’s current </w:t>
            </w:r>
            <w:r w:rsidR="00E13C49">
              <w:rPr>
                <w:rFonts w:ascii="Times" w:hAnsi="Times" w:cs="Arial"/>
                <w:szCs w:val="24"/>
              </w:rPr>
              <w:t xml:space="preserve">work </w:t>
            </w:r>
            <w:r w:rsidRPr="00E13C49">
              <w:rPr>
                <w:rFonts w:ascii="Times" w:hAnsi="Times" w:cs="Arial"/>
                <w:szCs w:val="24"/>
              </w:rPr>
              <w:t xml:space="preserve">plan </w:t>
            </w:r>
            <w:r w:rsidR="00E13C49">
              <w:rPr>
                <w:rFonts w:ascii="Times" w:hAnsi="Times" w:cs="Arial"/>
                <w:szCs w:val="24"/>
              </w:rPr>
              <w:t xml:space="preserve">is to end up with recommendations on A1/A2 values that </w:t>
            </w:r>
            <w:r w:rsidRPr="00E13C49">
              <w:rPr>
                <w:rFonts w:ascii="Times" w:hAnsi="Times" w:cs="Arial"/>
                <w:szCs w:val="24"/>
              </w:rPr>
              <w:t>could be incorporated into SSR-6</w:t>
            </w:r>
            <w:r w:rsidR="009A3894">
              <w:rPr>
                <w:rFonts w:ascii="Times" w:hAnsi="Times" w:cs="Arial"/>
                <w:szCs w:val="24"/>
              </w:rPr>
              <w:t xml:space="preserve"> and SSG 26</w:t>
            </w:r>
            <w:r w:rsidRPr="00E13C49">
              <w:rPr>
                <w:rFonts w:ascii="Times" w:hAnsi="Times" w:cs="Arial"/>
                <w:szCs w:val="24"/>
              </w:rPr>
              <w:t xml:space="preserve"> </w:t>
            </w:r>
            <w:r w:rsidR="00E13C49">
              <w:rPr>
                <w:rFonts w:ascii="Times" w:hAnsi="Times" w:cs="Arial"/>
                <w:szCs w:val="24"/>
              </w:rPr>
              <w:t>some point after</w:t>
            </w:r>
            <w:r w:rsidRPr="00E13C49">
              <w:rPr>
                <w:rFonts w:ascii="Times" w:hAnsi="Times" w:cs="Arial"/>
                <w:szCs w:val="24"/>
              </w:rPr>
              <w:t xml:space="preserve"> 202</w:t>
            </w:r>
            <w:r w:rsidR="009A3894">
              <w:rPr>
                <w:rFonts w:ascii="Times" w:hAnsi="Times" w:cs="Arial"/>
                <w:szCs w:val="24"/>
              </w:rPr>
              <w:t>2</w:t>
            </w:r>
            <w:r w:rsidRPr="00E13C49">
              <w:rPr>
                <w:rFonts w:ascii="Times" w:hAnsi="Times" w:cs="Arial"/>
                <w:szCs w:val="24"/>
              </w:rPr>
              <w:t>.</w:t>
            </w:r>
            <w:r w:rsidR="009A3894">
              <w:rPr>
                <w:rFonts w:ascii="Times" w:hAnsi="Times" w:cs="Arial"/>
                <w:szCs w:val="24"/>
              </w:rPr>
              <w:t xml:space="preserve">  This may end up being after the next revision (date unspecified) of SSR-6.</w:t>
            </w:r>
          </w:p>
          <w:p w:rsidR="00BB5A39" w:rsidRPr="00E13C49" w:rsidRDefault="00BB5A39" w:rsidP="00C65B3D">
            <w:pPr>
              <w:spacing w:before="40"/>
              <w:rPr>
                <w:rFonts w:ascii="Times" w:hAnsi="Times"/>
                <w:szCs w:val="24"/>
              </w:rPr>
            </w:pPr>
          </w:p>
        </w:tc>
      </w:tr>
      <w:tr w:rsidR="002A45D2" w:rsidRPr="00E13C49" w:rsidTr="00436E02">
        <w:trPr>
          <w:jc w:val="center"/>
        </w:trPr>
        <w:tc>
          <w:tcPr>
            <w:tcW w:w="540" w:type="dxa"/>
            <w:shd w:val="clear" w:color="auto" w:fill="auto"/>
          </w:tcPr>
          <w:p w:rsidR="002A45D2" w:rsidRPr="00E13C49" w:rsidRDefault="002A45D2" w:rsidP="002E4046">
            <w:pPr>
              <w:spacing w:before="40"/>
              <w:jc w:val="right"/>
              <w:rPr>
                <w:rFonts w:ascii="Times" w:hAnsi="Times"/>
                <w:szCs w:val="24"/>
              </w:rPr>
            </w:pPr>
          </w:p>
        </w:tc>
        <w:tc>
          <w:tcPr>
            <w:tcW w:w="9820" w:type="dxa"/>
            <w:shd w:val="clear" w:color="auto" w:fill="auto"/>
          </w:tcPr>
          <w:p w:rsidR="00BB5A39" w:rsidRDefault="009A3894" w:rsidP="00710112">
            <w:pPr>
              <w:pStyle w:val="Default"/>
              <w:spacing w:after="120"/>
              <w:rPr>
                <w:rFonts w:ascii="Times" w:hAnsi="Times" w:cs="Arial"/>
              </w:rPr>
            </w:pPr>
            <w:r w:rsidRPr="009A3894">
              <w:rPr>
                <w:rFonts w:ascii="Times" w:hAnsi="Times" w:cs="Arial"/>
              </w:rPr>
              <w:t>20% Increase in Dose Rate during N</w:t>
            </w:r>
            <w:r>
              <w:rPr>
                <w:rFonts w:ascii="Times" w:hAnsi="Times" w:cs="Arial"/>
              </w:rPr>
              <w:t xml:space="preserve">ormal </w:t>
            </w:r>
            <w:r w:rsidRPr="009A3894">
              <w:rPr>
                <w:rFonts w:ascii="Times" w:hAnsi="Times" w:cs="Arial"/>
              </w:rPr>
              <w:t>C</w:t>
            </w:r>
            <w:r>
              <w:rPr>
                <w:rFonts w:ascii="Times" w:hAnsi="Times" w:cs="Arial"/>
              </w:rPr>
              <w:t xml:space="preserve">onditions of </w:t>
            </w:r>
            <w:r w:rsidRPr="009A3894">
              <w:rPr>
                <w:rFonts w:ascii="Times" w:hAnsi="Times" w:cs="Arial"/>
              </w:rPr>
              <w:t>T</w:t>
            </w:r>
            <w:r>
              <w:rPr>
                <w:rFonts w:ascii="Times" w:hAnsi="Times" w:cs="Arial"/>
              </w:rPr>
              <w:t xml:space="preserve">ransport – </w:t>
            </w:r>
            <w:r w:rsidR="006A7B81">
              <w:rPr>
                <w:rFonts w:ascii="Times" w:hAnsi="Times" w:cs="Arial"/>
              </w:rPr>
              <w:t xml:space="preserve">There have been some concerns around </w:t>
            </w:r>
            <w:r w:rsidR="006A7B81">
              <w:rPr>
                <w:rFonts w:ascii="Times" w:hAnsi="Times" w:cs="Arial"/>
              </w:rPr>
              <w:t xml:space="preserve">how the 20% increase is </w:t>
            </w:r>
            <w:proofErr w:type="spellStart"/>
            <w:r w:rsidR="006A7B81">
              <w:rPr>
                <w:rFonts w:ascii="Times" w:hAnsi="Times" w:cs="Arial"/>
              </w:rPr>
              <w:t>appliled</w:t>
            </w:r>
            <w:proofErr w:type="spellEnd"/>
            <w:r w:rsidR="006A7B81">
              <w:rPr>
                <w:rFonts w:ascii="Times" w:hAnsi="Times" w:cs="Arial"/>
              </w:rPr>
              <w:t xml:space="preserve"> to </w:t>
            </w:r>
            <w:r w:rsidR="006A7B81">
              <w:rPr>
                <w:rFonts w:ascii="Times" w:hAnsi="Times" w:cs="Arial"/>
              </w:rPr>
              <w:t>low dose shipments</w:t>
            </w:r>
            <w:r w:rsidR="006A7B81">
              <w:rPr>
                <w:rFonts w:ascii="Times" w:hAnsi="Times" w:cs="Arial"/>
              </w:rPr>
              <w:t>.  A</w:t>
            </w:r>
            <w:r w:rsidR="006A7B81">
              <w:rPr>
                <w:rFonts w:ascii="Times" w:hAnsi="Times" w:cs="Arial"/>
              </w:rPr>
              <w:t xml:space="preserve">s well </w:t>
            </w:r>
            <w:r w:rsidR="006A7B81">
              <w:rPr>
                <w:rFonts w:ascii="Times" w:hAnsi="Times" w:cs="Arial"/>
              </w:rPr>
              <w:t>there have been cases where</w:t>
            </w:r>
            <w:r w:rsidR="006A7B81">
              <w:rPr>
                <w:rFonts w:ascii="Times" w:hAnsi="Times" w:cs="Arial"/>
              </w:rPr>
              <w:t xml:space="preserve"> contents shift or settle during transport</w:t>
            </w:r>
            <w:r w:rsidR="006A7B81">
              <w:rPr>
                <w:rFonts w:ascii="Times" w:hAnsi="Times" w:cs="Arial"/>
              </w:rPr>
              <w:t xml:space="preserve"> resulting in a dose increase greater than 20%</w:t>
            </w:r>
            <w:r w:rsidR="006A7B81">
              <w:rPr>
                <w:rFonts w:ascii="Times" w:hAnsi="Times" w:cs="Arial"/>
              </w:rPr>
              <w:t>.</w:t>
            </w:r>
            <w:r w:rsidR="006A7B81">
              <w:rPr>
                <w:rFonts w:ascii="Times" w:hAnsi="Times" w:cs="Arial"/>
              </w:rPr>
              <w:t xml:space="preserve">  </w:t>
            </w:r>
            <w:r>
              <w:rPr>
                <w:rFonts w:ascii="Times" w:hAnsi="Times" w:cs="Arial"/>
              </w:rPr>
              <w:t>This group was set up to evaluate technical justification</w:t>
            </w:r>
            <w:r w:rsidR="006A7B81">
              <w:rPr>
                <w:rFonts w:ascii="Times" w:hAnsi="Times" w:cs="Arial"/>
              </w:rPr>
              <w:t>s</w:t>
            </w:r>
            <w:r>
              <w:rPr>
                <w:rFonts w:ascii="Times" w:hAnsi="Times" w:cs="Arial"/>
              </w:rPr>
              <w:t xml:space="preserve"> to </w:t>
            </w:r>
            <w:r w:rsidR="006A7B81">
              <w:rPr>
                <w:rFonts w:ascii="Times" w:hAnsi="Times" w:cs="Arial"/>
              </w:rPr>
              <w:t>support</w:t>
            </w:r>
            <w:r>
              <w:rPr>
                <w:rFonts w:ascii="Times" w:hAnsi="Times" w:cs="Arial"/>
              </w:rPr>
              <w:t xml:space="preserve"> changes to th</w:t>
            </w:r>
            <w:r w:rsidR="006A7B81">
              <w:rPr>
                <w:rFonts w:ascii="Times" w:hAnsi="Times" w:cs="Arial"/>
              </w:rPr>
              <w:t>e</w:t>
            </w:r>
            <w:r>
              <w:rPr>
                <w:rFonts w:ascii="Times" w:hAnsi="Times" w:cs="Arial"/>
              </w:rPr>
              <w:t xml:space="preserve"> requirement that limits dose increase during transport.    </w:t>
            </w:r>
            <w:r w:rsidR="00710112">
              <w:rPr>
                <w:rFonts w:ascii="Times" w:hAnsi="Times" w:cs="Arial"/>
              </w:rPr>
              <w:t>The group agree</w:t>
            </w:r>
            <w:r w:rsidR="006A7B81">
              <w:rPr>
                <w:rFonts w:ascii="Times" w:hAnsi="Times" w:cs="Arial"/>
              </w:rPr>
              <w:t>d</w:t>
            </w:r>
            <w:r w:rsidR="00710112">
              <w:rPr>
                <w:rFonts w:ascii="Times" w:hAnsi="Times" w:cs="Arial"/>
              </w:rPr>
              <w:t xml:space="preserve"> that i</w:t>
            </w:r>
            <w:r w:rsidR="00710112" w:rsidRPr="00710112">
              <w:rPr>
                <w:rFonts w:ascii="Times" w:hAnsi="Times" w:cs="Arial"/>
              </w:rPr>
              <w:t xml:space="preserve">f the dose rate at the surface of the package is </w:t>
            </w:r>
            <w:proofErr w:type="gramStart"/>
            <w:r w:rsidR="00710112" w:rsidRPr="00710112">
              <w:rPr>
                <w:rFonts w:ascii="Times" w:hAnsi="Times" w:cs="Arial"/>
              </w:rPr>
              <w:t xml:space="preserve">below 50 </w:t>
            </w:r>
            <w:proofErr w:type="spellStart"/>
            <w:r w:rsidR="00710112" w:rsidRPr="00710112">
              <w:rPr>
                <w:rFonts w:ascii="Times" w:hAnsi="Times" w:cs="Arial"/>
              </w:rPr>
              <w:t>μSv</w:t>
            </w:r>
            <w:proofErr w:type="spellEnd"/>
            <w:r w:rsidR="00710112" w:rsidRPr="00710112">
              <w:rPr>
                <w:rFonts w:ascii="Times" w:hAnsi="Times" w:cs="Arial"/>
              </w:rPr>
              <w:t>/h</w:t>
            </w:r>
            <w:r w:rsidR="006A7B81">
              <w:rPr>
                <w:rFonts w:ascii="Times" w:hAnsi="Times" w:cs="Arial"/>
              </w:rPr>
              <w:t xml:space="preserve"> (low dose package)</w:t>
            </w:r>
            <w:proofErr w:type="gramEnd"/>
            <w:r w:rsidR="00710112" w:rsidRPr="00710112">
              <w:rPr>
                <w:rFonts w:ascii="Times" w:hAnsi="Times" w:cs="Arial"/>
              </w:rPr>
              <w:t xml:space="preserve">, then an increase of 10 </w:t>
            </w:r>
            <w:proofErr w:type="spellStart"/>
            <w:r w:rsidR="00710112" w:rsidRPr="00710112">
              <w:rPr>
                <w:rFonts w:ascii="Times" w:hAnsi="Times" w:cs="Arial"/>
              </w:rPr>
              <w:t>μSv</w:t>
            </w:r>
            <w:proofErr w:type="spellEnd"/>
            <w:r w:rsidR="00710112" w:rsidRPr="00710112">
              <w:rPr>
                <w:rFonts w:ascii="Times" w:hAnsi="Times" w:cs="Arial"/>
              </w:rPr>
              <w:t>/h is allowed after the NCT tests.</w:t>
            </w:r>
            <w:r w:rsidR="00710112">
              <w:rPr>
                <w:rFonts w:ascii="Times" w:hAnsi="Times" w:cs="Arial"/>
              </w:rPr>
              <w:t xml:space="preserve">  This will be submitted as a proposal during the next review cycle.  It was also agreed that the guidance documents should address internal movement of the contents that could occur during NCT.  WNTI proposed a solution in which package designs that exceed the 20% dose increase have a TI multiplication factor.  This proposed multiplication factor would be based on the relative difference of the dose rate increase during design.  This proposal </w:t>
            </w:r>
            <w:r w:rsidR="006A7B81">
              <w:rPr>
                <w:rFonts w:ascii="Times" w:hAnsi="Times" w:cs="Arial"/>
              </w:rPr>
              <w:t>will</w:t>
            </w:r>
            <w:r w:rsidR="00710112">
              <w:rPr>
                <w:rFonts w:ascii="Times" w:hAnsi="Times" w:cs="Arial"/>
              </w:rPr>
              <w:t xml:space="preserve"> be addressed by </w:t>
            </w:r>
            <w:r w:rsidR="006A7B81">
              <w:rPr>
                <w:rFonts w:ascii="Times" w:hAnsi="Times" w:cs="Arial"/>
              </w:rPr>
              <w:t xml:space="preserve">a proposal to </w:t>
            </w:r>
            <w:r w:rsidR="00710112">
              <w:rPr>
                <w:rFonts w:ascii="Times" w:hAnsi="Times" w:cs="Arial"/>
              </w:rPr>
              <w:t xml:space="preserve">add </w:t>
            </w:r>
            <w:r w:rsidR="009F2B71">
              <w:rPr>
                <w:rFonts w:ascii="Times" w:hAnsi="Times" w:cs="Arial"/>
              </w:rPr>
              <w:t>an explanatory note into the guidance document</w:t>
            </w:r>
            <w:r w:rsidR="006A7B81">
              <w:rPr>
                <w:rFonts w:ascii="Times" w:hAnsi="Times" w:cs="Arial"/>
              </w:rPr>
              <w:t xml:space="preserve"> (SSG-26)</w:t>
            </w:r>
            <w:r w:rsidR="009F2B71">
              <w:rPr>
                <w:rFonts w:ascii="Times" w:hAnsi="Times" w:cs="Arial"/>
              </w:rPr>
              <w:t xml:space="preserve">.  </w:t>
            </w:r>
            <w:r w:rsidR="00710112">
              <w:rPr>
                <w:rFonts w:ascii="Times" w:hAnsi="Times" w:cs="Arial"/>
              </w:rPr>
              <w:t>I (Nordion/ISSPA) noted that the 20% increase rule could be applied at a cost of safety.  In Type A package design, it is possible that a better shielded package (</w:t>
            </w:r>
            <w:r w:rsidR="006A7B81">
              <w:rPr>
                <w:rFonts w:ascii="Times" w:hAnsi="Times" w:cs="Arial"/>
              </w:rPr>
              <w:t xml:space="preserve">larger </w:t>
            </w:r>
            <w:r w:rsidR="00710112">
              <w:rPr>
                <w:rFonts w:ascii="Times" w:hAnsi="Times" w:cs="Arial"/>
              </w:rPr>
              <w:t xml:space="preserve">Lead Pot) could fail the 20% NCT limit even though the dose rate on the outside of the package would be significantly lower.  This is due to the amount of deformation during drop tests (Increased shielding= increased mass = increased deformation).  </w:t>
            </w:r>
            <w:r w:rsidR="009F2B71">
              <w:rPr>
                <w:rFonts w:ascii="Times" w:hAnsi="Times" w:cs="Arial"/>
              </w:rPr>
              <w:t>As there was no proposal supporting this situation, there was no resolution.</w:t>
            </w:r>
            <w:r w:rsidR="006A7B81">
              <w:rPr>
                <w:rFonts w:ascii="Times" w:hAnsi="Times" w:cs="Arial"/>
              </w:rPr>
              <w:t xml:space="preserve">  We may choose to </w:t>
            </w:r>
            <w:proofErr w:type="spellStart"/>
            <w:r w:rsidR="006A7B81">
              <w:rPr>
                <w:rFonts w:ascii="Times" w:hAnsi="Times" w:cs="Arial"/>
              </w:rPr>
              <w:t>revist</w:t>
            </w:r>
            <w:proofErr w:type="spellEnd"/>
            <w:r w:rsidR="006A7B81">
              <w:rPr>
                <w:rFonts w:ascii="Times" w:hAnsi="Times" w:cs="Arial"/>
              </w:rPr>
              <w:t xml:space="preserve"> this as a proposal during the next review cycle.</w:t>
            </w:r>
          </w:p>
          <w:p w:rsidR="00BB5A39" w:rsidRPr="00E13C49" w:rsidRDefault="00BB5A39" w:rsidP="009F2B71">
            <w:pPr>
              <w:spacing w:before="40"/>
              <w:rPr>
                <w:rFonts w:ascii="Times" w:hAnsi="Times"/>
                <w:szCs w:val="24"/>
              </w:rPr>
            </w:pPr>
          </w:p>
        </w:tc>
      </w:tr>
      <w:tr w:rsidR="002A45D2" w:rsidRPr="00E13C49" w:rsidTr="00436E02">
        <w:trPr>
          <w:jc w:val="center"/>
        </w:trPr>
        <w:tc>
          <w:tcPr>
            <w:tcW w:w="540" w:type="dxa"/>
            <w:shd w:val="clear" w:color="auto" w:fill="auto"/>
          </w:tcPr>
          <w:p w:rsidR="002A45D2" w:rsidRPr="00E13C49" w:rsidRDefault="002A45D2" w:rsidP="002E4046">
            <w:pPr>
              <w:spacing w:before="40"/>
              <w:jc w:val="right"/>
              <w:rPr>
                <w:rFonts w:ascii="Times" w:hAnsi="Times"/>
                <w:szCs w:val="24"/>
              </w:rPr>
            </w:pPr>
          </w:p>
        </w:tc>
        <w:tc>
          <w:tcPr>
            <w:tcW w:w="9820" w:type="dxa"/>
            <w:shd w:val="clear" w:color="auto" w:fill="auto"/>
          </w:tcPr>
          <w:p w:rsidR="00BB5A39" w:rsidRPr="00E13C49" w:rsidRDefault="00BB5A39" w:rsidP="00BB5A39">
            <w:pPr>
              <w:pStyle w:val="Default"/>
              <w:spacing w:after="120"/>
              <w:rPr>
                <w:rFonts w:ascii="Times" w:hAnsi="Times" w:cs="Arial"/>
              </w:rPr>
            </w:pPr>
            <w:r w:rsidRPr="00E13C49">
              <w:rPr>
                <w:rFonts w:ascii="Times" w:hAnsi="Times" w:cs="Arial"/>
              </w:rPr>
              <w:t>No relevant updates for ISSPA were available from the NORM and Criticality working groups.</w:t>
            </w:r>
          </w:p>
          <w:p w:rsidR="00973FCD" w:rsidRPr="00E13C49" w:rsidRDefault="00973FCD" w:rsidP="00941662">
            <w:pPr>
              <w:spacing w:before="40"/>
              <w:rPr>
                <w:rFonts w:ascii="Times" w:eastAsia="Times New Roman" w:hAnsi="Times"/>
                <w:szCs w:val="24"/>
              </w:rPr>
            </w:pPr>
          </w:p>
        </w:tc>
      </w:tr>
      <w:tr w:rsidR="002A45D2" w:rsidRPr="00E13C49" w:rsidTr="00436E02">
        <w:trPr>
          <w:jc w:val="center"/>
        </w:trPr>
        <w:tc>
          <w:tcPr>
            <w:tcW w:w="540" w:type="dxa"/>
            <w:shd w:val="clear" w:color="auto" w:fill="auto"/>
          </w:tcPr>
          <w:p w:rsidR="002A45D2" w:rsidRPr="00E13C49" w:rsidRDefault="002A45D2" w:rsidP="002E4046">
            <w:pPr>
              <w:spacing w:before="40"/>
              <w:jc w:val="right"/>
              <w:rPr>
                <w:rFonts w:ascii="Times" w:hAnsi="Times"/>
                <w:szCs w:val="24"/>
              </w:rPr>
            </w:pPr>
          </w:p>
        </w:tc>
        <w:tc>
          <w:tcPr>
            <w:tcW w:w="9820" w:type="dxa"/>
            <w:shd w:val="clear" w:color="auto" w:fill="auto"/>
          </w:tcPr>
          <w:p w:rsidR="00B708B6" w:rsidRDefault="00BB5A39" w:rsidP="00BB5A39">
            <w:pPr>
              <w:pStyle w:val="Default"/>
              <w:spacing w:after="120"/>
              <w:rPr>
                <w:rFonts w:ascii="Times" w:hAnsi="Times" w:cs="Arial"/>
              </w:rPr>
            </w:pPr>
            <w:r w:rsidRPr="00E13C49">
              <w:rPr>
                <w:rFonts w:ascii="Times" w:hAnsi="Times" w:cs="Arial"/>
              </w:rPr>
              <w:t xml:space="preserve">The TRANSSC meeting opened with standard review of past minutes, meeting conduct and set up of the agenda.  </w:t>
            </w:r>
            <w:r w:rsidR="00497F74">
              <w:rPr>
                <w:rFonts w:ascii="Times" w:hAnsi="Times" w:cs="Arial"/>
              </w:rPr>
              <w:t xml:space="preserve">This marked the last meeting of the current TRANSSC cycle.  </w:t>
            </w:r>
            <w:r w:rsidR="006A7B81">
              <w:rPr>
                <w:rFonts w:ascii="Times" w:hAnsi="Times" w:cs="Arial"/>
              </w:rPr>
              <w:t>As such t</w:t>
            </w:r>
            <w:r w:rsidR="00497F74">
              <w:rPr>
                <w:rFonts w:ascii="Times" w:hAnsi="Times" w:cs="Arial"/>
              </w:rPr>
              <w:t xml:space="preserve">here </w:t>
            </w:r>
            <w:proofErr w:type="gramStart"/>
            <w:r w:rsidR="00497F74">
              <w:rPr>
                <w:rFonts w:ascii="Times" w:hAnsi="Times" w:cs="Arial"/>
              </w:rPr>
              <w:t xml:space="preserve">was </w:t>
            </w:r>
            <w:r w:rsidR="006A7B81">
              <w:rPr>
                <w:rFonts w:ascii="Times" w:hAnsi="Times" w:cs="Arial"/>
              </w:rPr>
              <w:t>also discussions</w:t>
            </w:r>
            <w:proofErr w:type="gramEnd"/>
            <w:r w:rsidR="006A7B81">
              <w:rPr>
                <w:rFonts w:ascii="Times" w:hAnsi="Times" w:cs="Arial"/>
              </w:rPr>
              <w:t xml:space="preserve"> about</w:t>
            </w:r>
            <w:r w:rsidR="00497F74">
              <w:rPr>
                <w:rFonts w:ascii="Times" w:hAnsi="Times" w:cs="Arial"/>
              </w:rPr>
              <w:t xml:space="preserve"> review and feedback from the past term.</w:t>
            </w:r>
          </w:p>
          <w:p w:rsidR="009F2B71" w:rsidRDefault="009F2B71" w:rsidP="00B708B6">
            <w:pPr>
              <w:pStyle w:val="Default"/>
              <w:numPr>
                <w:ilvl w:val="0"/>
                <w:numId w:val="43"/>
              </w:numPr>
              <w:spacing w:after="12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The group broke into three working groups to discuss either Anticipated Comments to </w:t>
            </w:r>
            <w:r w:rsidR="006A7B81">
              <w:rPr>
                <w:rFonts w:ascii="Times" w:hAnsi="Times" w:cs="Arial"/>
              </w:rPr>
              <w:br/>
            </w:r>
            <w:r>
              <w:rPr>
                <w:rFonts w:ascii="Times" w:hAnsi="Times" w:cs="Arial"/>
              </w:rPr>
              <w:t>SSG</w:t>
            </w:r>
            <w:r w:rsidR="006A7B81">
              <w:rPr>
                <w:rFonts w:ascii="Times" w:hAnsi="Times" w:cs="Arial"/>
              </w:rPr>
              <w:t>-</w:t>
            </w:r>
            <w:r>
              <w:rPr>
                <w:rFonts w:ascii="Times" w:hAnsi="Times" w:cs="Arial"/>
              </w:rPr>
              <w:t xml:space="preserve"> 26, Review of TS-G-1.4 or Review of TS-G-1.5.  I participated in the </w:t>
            </w:r>
            <w:r w:rsidR="006A7B81">
              <w:rPr>
                <w:rFonts w:ascii="Times" w:hAnsi="Times" w:cs="Arial"/>
              </w:rPr>
              <w:t>Review</w:t>
            </w:r>
            <w:r w:rsidRPr="009F2B71">
              <w:rPr>
                <w:rFonts w:ascii="Times" w:hAnsi="Times" w:cs="Arial"/>
              </w:rPr>
              <w:t xml:space="preserve"> of </w:t>
            </w:r>
            <w:r w:rsidR="006A7B81">
              <w:rPr>
                <w:rFonts w:ascii="Times" w:hAnsi="Times" w:cs="Arial"/>
              </w:rPr>
              <w:br/>
            </w:r>
            <w:r w:rsidRPr="009F2B71">
              <w:rPr>
                <w:rFonts w:ascii="Times" w:hAnsi="Times" w:cs="Arial"/>
              </w:rPr>
              <w:t>TS-G-1.4</w:t>
            </w:r>
            <w:r w:rsidR="00E96F2C">
              <w:rPr>
                <w:rFonts w:ascii="Times" w:hAnsi="Times" w:cs="Arial"/>
              </w:rPr>
              <w:t xml:space="preserve"> Management Systems document.</w:t>
            </w:r>
          </w:p>
          <w:p w:rsidR="00E96F2C" w:rsidRPr="00D91C91" w:rsidRDefault="00E96F2C" w:rsidP="00D91C91">
            <w:pPr>
              <w:pStyle w:val="Default"/>
              <w:spacing w:after="120"/>
              <w:ind w:left="720"/>
              <w:rPr>
                <w:rFonts w:ascii="Times" w:hAnsi="Times" w:cs="Arial"/>
                <w:u w:val="single"/>
              </w:rPr>
            </w:pPr>
            <w:r w:rsidRPr="00D91C91">
              <w:rPr>
                <w:rFonts w:ascii="Times" w:hAnsi="Times" w:cs="Arial"/>
                <w:u w:val="single"/>
              </w:rPr>
              <w:t>Anticipated Comments to SSG-26</w:t>
            </w:r>
          </w:p>
          <w:p w:rsidR="00D91C91" w:rsidRDefault="00FC1D3B" w:rsidP="00E96F2C">
            <w:pPr>
              <w:pStyle w:val="Default"/>
              <w:numPr>
                <w:ilvl w:val="0"/>
                <w:numId w:val="43"/>
              </w:numPr>
              <w:spacing w:after="120"/>
              <w:ind w:left="117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As this working group was held prior to the closure date for comments</w:t>
            </w:r>
            <w:r w:rsidR="006A7B81">
              <w:rPr>
                <w:rFonts w:ascii="Times" w:hAnsi="Times" w:cs="Arial"/>
              </w:rPr>
              <w:t xml:space="preserve"> the</w:t>
            </w:r>
            <w:r w:rsidR="00AB0714">
              <w:rPr>
                <w:rFonts w:ascii="Times" w:hAnsi="Times" w:cs="Arial"/>
              </w:rPr>
              <w:t xml:space="preserve"> </w:t>
            </w:r>
            <w:r w:rsidR="00AB0714" w:rsidRPr="00AB0714">
              <w:rPr>
                <w:rFonts w:ascii="Times" w:hAnsi="Times" w:cs="Arial"/>
              </w:rPr>
              <w:t xml:space="preserve">outcome of the working group was </w:t>
            </w:r>
            <w:r w:rsidR="006A7B81">
              <w:rPr>
                <w:rFonts w:ascii="Times" w:hAnsi="Times" w:cs="Arial"/>
              </w:rPr>
              <w:t xml:space="preserve">limited to </w:t>
            </w:r>
            <w:r w:rsidR="00AB0714" w:rsidRPr="00AB0714">
              <w:rPr>
                <w:rFonts w:ascii="Times" w:hAnsi="Times" w:cs="Arial"/>
              </w:rPr>
              <w:t>discuss</w:t>
            </w:r>
            <w:r w:rsidR="006A7B81">
              <w:rPr>
                <w:rFonts w:ascii="Times" w:hAnsi="Times" w:cs="Arial"/>
              </w:rPr>
              <w:t>ing</w:t>
            </w:r>
            <w:r w:rsidR="00AB0714" w:rsidRPr="00AB0714">
              <w:rPr>
                <w:rFonts w:ascii="Times" w:hAnsi="Times" w:cs="Arial"/>
              </w:rPr>
              <w:t xml:space="preserve"> comments already submitted by Member States and those that will be submitted prior to the closing of the comment period.</w:t>
            </w:r>
          </w:p>
          <w:p w:rsidR="00AB0714" w:rsidRDefault="00AB0714" w:rsidP="00E96F2C">
            <w:pPr>
              <w:pStyle w:val="Default"/>
              <w:numPr>
                <w:ilvl w:val="0"/>
                <w:numId w:val="43"/>
              </w:numPr>
              <w:spacing w:after="120"/>
              <w:ind w:left="117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A number of the comments were editorial in nature.  Other comments suggested </w:t>
            </w:r>
            <w:r w:rsidRPr="00AB0714">
              <w:rPr>
                <w:rFonts w:ascii="Times" w:hAnsi="Times" w:cs="Arial"/>
              </w:rPr>
              <w:t>that text related to the history of the regulations be removed from SSG-26 and be moved to the Technical Basis document.</w:t>
            </w:r>
          </w:p>
          <w:p w:rsidR="00AB0714" w:rsidRPr="00AB0714" w:rsidRDefault="00AB0714" w:rsidP="00AB0714">
            <w:pPr>
              <w:pStyle w:val="Default"/>
              <w:numPr>
                <w:ilvl w:val="0"/>
                <w:numId w:val="43"/>
              </w:numPr>
              <w:spacing w:after="120"/>
              <w:ind w:left="1170"/>
              <w:rPr>
                <w:rFonts w:ascii="Times" w:hAnsi="Times" w:cs="Arial"/>
              </w:rPr>
            </w:pPr>
            <w:r w:rsidRPr="00AB0714">
              <w:rPr>
                <w:rFonts w:ascii="Times" w:hAnsi="Times" w:cs="Arial"/>
              </w:rPr>
              <w:t>There was a recommendation to reject of the proposed text for paragraph 401.2</w:t>
            </w:r>
            <w:r>
              <w:rPr>
                <w:rFonts w:ascii="Times" w:hAnsi="Times" w:cs="Arial"/>
              </w:rPr>
              <w:t xml:space="preserve"> which proposed that i</w:t>
            </w:r>
            <w:r w:rsidRPr="00AB0714">
              <w:rPr>
                <w:rFonts w:ascii="Times" w:hAnsi="Times" w:cs="Arial"/>
              </w:rPr>
              <w:t>f a package contains both special form and non-special form, the appropriate UN number should be assigned that corresponds to the non-special form.</w:t>
            </w:r>
          </w:p>
          <w:p w:rsidR="00D91C91" w:rsidRDefault="00D91C91" w:rsidP="00D91C91">
            <w:pPr>
              <w:pStyle w:val="Default"/>
              <w:spacing w:after="120"/>
              <w:ind w:left="810"/>
              <w:rPr>
                <w:rFonts w:ascii="Times" w:hAnsi="Times" w:cs="Arial"/>
              </w:rPr>
            </w:pPr>
            <w:r w:rsidRPr="00D91C91">
              <w:rPr>
                <w:rFonts w:ascii="Times" w:hAnsi="Times" w:cs="Arial"/>
                <w:u w:val="single"/>
              </w:rPr>
              <w:t>Review of TS-G-1.4</w:t>
            </w:r>
            <w:r>
              <w:rPr>
                <w:rFonts w:ascii="Times" w:hAnsi="Times" w:cs="Arial"/>
                <w:u w:val="single"/>
              </w:rPr>
              <w:t>, Management Systems</w:t>
            </w:r>
          </w:p>
          <w:p w:rsidR="00D91C91" w:rsidRDefault="00D91C91" w:rsidP="00D91C91">
            <w:pPr>
              <w:pStyle w:val="Default"/>
              <w:numPr>
                <w:ilvl w:val="1"/>
                <w:numId w:val="43"/>
              </w:numPr>
              <w:spacing w:after="120"/>
              <w:ind w:left="1170" w:hanging="360"/>
              <w:rPr>
                <w:rFonts w:ascii="Times" w:hAnsi="Times" w:cs="Arial"/>
              </w:rPr>
            </w:pPr>
            <w:r w:rsidRPr="00D91C91">
              <w:rPr>
                <w:rFonts w:ascii="Times" w:hAnsi="Times" w:cs="Arial"/>
              </w:rPr>
              <w:t xml:space="preserve">The review of this document was a follow up on questions raised during TRANSSC 33.  The group agreed that waiting for the final text of SSG-26 before reviewing </w:t>
            </w:r>
            <w:r w:rsidR="006A7B81">
              <w:rPr>
                <w:rFonts w:ascii="Times" w:hAnsi="Times" w:cs="Arial"/>
              </w:rPr>
              <w:br/>
            </w:r>
            <w:r w:rsidRPr="00D91C91">
              <w:rPr>
                <w:rFonts w:ascii="Times" w:hAnsi="Times" w:cs="Arial"/>
              </w:rPr>
              <w:t>TS-G-1.4</w:t>
            </w:r>
            <w:r>
              <w:rPr>
                <w:rFonts w:ascii="Times" w:hAnsi="Times" w:cs="Arial"/>
              </w:rPr>
              <w:t xml:space="preserve"> was appropriate</w:t>
            </w:r>
            <w:r w:rsidRPr="00D91C91">
              <w:rPr>
                <w:rFonts w:ascii="Times" w:hAnsi="Times" w:cs="Arial"/>
              </w:rPr>
              <w:t xml:space="preserve">. </w:t>
            </w:r>
            <w:r>
              <w:rPr>
                <w:rFonts w:ascii="Times" w:hAnsi="Times" w:cs="Arial"/>
              </w:rPr>
              <w:t xml:space="preserve">The group noted that of the recent changes to SSR-6, </w:t>
            </w:r>
            <w:r w:rsidRPr="00D91C91">
              <w:rPr>
                <w:rFonts w:ascii="Times" w:hAnsi="Times" w:cs="Arial"/>
              </w:rPr>
              <w:t>the ageing management program will have an effect of the content of the TS-G-1.4.</w:t>
            </w:r>
          </w:p>
          <w:p w:rsidR="00D91C91" w:rsidRDefault="00D91C91" w:rsidP="00D91C91">
            <w:pPr>
              <w:pStyle w:val="Default"/>
              <w:numPr>
                <w:ilvl w:val="1"/>
                <w:numId w:val="43"/>
              </w:numPr>
              <w:spacing w:after="120"/>
              <w:ind w:left="1170" w:hanging="360"/>
              <w:rPr>
                <w:rFonts w:ascii="Times" w:hAnsi="Times" w:cs="Arial"/>
              </w:rPr>
            </w:pPr>
            <w:r w:rsidRPr="00D91C91">
              <w:rPr>
                <w:rFonts w:ascii="Times" w:hAnsi="Times" w:cs="Arial"/>
              </w:rPr>
              <w:t xml:space="preserve">The current structure of the document seems to be good but the content will need to reflect the most current international </w:t>
            </w:r>
            <w:proofErr w:type="spellStart"/>
            <w:r w:rsidRPr="00D91C91">
              <w:rPr>
                <w:rFonts w:ascii="Times" w:hAnsi="Times" w:cs="Arial"/>
              </w:rPr>
              <w:t>guidances</w:t>
            </w:r>
            <w:proofErr w:type="spellEnd"/>
            <w:r w:rsidRPr="00D91C91">
              <w:rPr>
                <w:rFonts w:ascii="Times" w:hAnsi="Times" w:cs="Arial"/>
              </w:rPr>
              <w:t xml:space="preserve"> on management system.</w:t>
            </w:r>
          </w:p>
          <w:p w:rsidR="00D91C91" w:rsidRDefault="006A7B81" w:rsidP="00D91C91">
            <w:pPr>
              <w:pStyle w:val="Default"/>
              <w:numPr>
                <w:ilvl w:val="1"/>
                <w:numId w:val="43"/>
              </w:numPr>
              <w:spacing w:after="120"/>
              <w:ind w:left="1170" w:hanging="36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The </w:t>
            </w:r>
            <w:r w:rsidR="00D91C91" w:rsidRPr="00D91C91">
              <w:rPr>
                <w:rFonts w:ascii="Times" w:hAnsi="Times" w:cs="Arial"/>
              </w:rPr>
              <w:t>WG recommend</w:t>
            </w:r>
            <w:r>
              <w:rPr>
                <w:rFonts w:ascii="Times" w:hAnsi="Times" w:cs="Arial"/>
              </w:rPr>
              <w:t>ed</w:t>
            </w:r>
            <w:r w:rsidR="00D91C91" w:rsidRPr="00D91C91">
              <w:rPr>
                <w:rFonts w:ascii="Times" w:hAnsi="Times" w:cs="Arial"/>
              </w:rPr>
              <w:t xml:space="preserve"> that member states </w:t>
            </w:r>
            <w:r>
              <w:rPr>
                <w:rFonts w:ascii="Times" w:hAnsi="Times" w:cs="Arial"/>
              </w:rPr>
              <w:t>sh</w:t>
            </w:r>
            <w:r w:rsidR="00D91C91" w:rsidRPr="00D91C91">
              <w:rPr>
                <w:rFonts w:ascii="Times" w:hAnsi="Times" w:cs="Arial"/>
              </w:rPr>
              <w:t>ould be encouraged to submit national experiences about graded approach of management systems to be included in safety guides.</w:t>
            </w:r>
          </w:p>
          <w:p w:rsidR="00D91C91" w:rsidRDefault="006A7B81" w:rsidP="00D91C91">
            <w:pPr>
              <w:pStyle w:val="Default"/>
              <w:numPr>
                <w:ilvl w:val="1"/>
                <w:numId w:val="43"/>
              </w:numPr>
              <w:spacing w:after="120"/>
              <w:ind w:left="1170" w:hanging="36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The </w:t>
            </w:r>
            <w:r w:rsidR="00D91C91">
              <w:rPr>
                <w:rFonts w:ascii="Times" w:hAnsi="Times" w:cs="Arial"/>
              </w:rPr>
              <w:t xml:space="preserve">WG </w:t>
            </w:r>
            <w:r w:rsidR="00D91C91" w:rsidRPr="00D91C91">
              <w:rPr>
                <w:rFonts w:ascii="Times" w:hAnsi="Times" w:cs="Arial"/>
              </w:rPr>
              <w:t xml:space="preserve">strongly recommends that a consultancy meeting works on the </w:t>
            </w:r>
            <w:proofErr w:type="spellStart"/>
            <w:r w:rsidR="00D91C91" w:rsidRPr="00D91C91">
              <w:rPr>
                <w:rFonts w:ascii="Times" w:hAnsi="Times" w:cs="Arial"/>
              </w:rPr>
              <w:t>revison</w:t>
            </w:r>
            <w:proofErr w:type="spellEnd"/>
            <w:r w:rsidR="00D91C91" w:rsidRPr="00D91C91">
              <w:rPr>
                <w:rFonts w:ascii="Times" w:hAnsi="Times" w:cs="Arial"/>
              </w:rPr>
              <w:t xml:space="preserve"> of </w:t>
            </w:r>
            <w:r>
              <w:rPr>
                <w:rFonts w:ascii="Times" w:hAnsi="Times" w:cs="Arial"/>
              </w:rPr>
              <w:br/>
            </w:r>
            <w:r w:rsidR="00D91C91" w:rsidRPr="00D91C91">
              <w:rPr>
                <w:rFonts w:ascii="Times" w:hAnsi="Times" w:cs="Arial"/>
              </w:rPr>
              <w:t>TS-G-1.4 after the final text of SSG-26.</w:t>
            </w:r>
          </w:p>
          <w:p w:rsidR="006A7B81" w:rsidRPr="00D91C91" w:rsidRDefault="006A7B81" w:rsidP="006A7B81">
            <w:pPr>
              <w:pStyle w:val="Default"/>
              <w:spacing w:after="120"/>
              <w:ind w:left="1170"/>
              <w:rPr>
                <w:rFonts w:ascii="Times" w:hAnsi="Times" w:cs="Arial"/>
              </w:rPr>
            </w:pPr>
          </w:p>
          <w:p w:rsidR="00D91C91" w:rsidRDefault="00D91C91" w:rsidP="00D91C91">
            <w:pPr>
              <w:pStyle w:val="Default"/>
              <w:ind w:left="810"/>
              <w:rPr>
                <w:rFonts w:ascii="Times" w:hAnsi="Times" w:cs="Arial"/>
              </w:rPr>
            </w:pPr>
            <w:r w:rsidRPr="00D91C91">
              <w:rPr>
                <w:rFonts w:ascii="Times" w:hAnsi="Times" w:cs="Arial"/>
                <w:u w:val="single"/>
              </w:rPr>
              <w:t>Review of TS-G-1.</w:t>
            </w:r>
            <w:r>
              <w:rPr>
                <w:rFonts w:ascii="Times" w:hAnsi="Times" w:cs="Arial"/>
                <w:u w:val="single"/>
              </w:rPr>
              <w:t>5 Compliance Assurance</w:t>
            </w:r>
          </w:p>
          <w:p w:rsidR="00D91C91" w:rsidRDefault="006A7B81" w:rsidP="00FC1D3B">
            <w:pPr>
              <w:pStyle w:val="Default"/>
              <w:numPr>
                <w:ilvl w:val="0"/>
                <w:numId w:val="43"/>
              </w:numPr>
              <w:spacing w:before="240"/>
              <w:ind w:left="117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The WG recommends that a consultancy m</w:t>
            </w:r>
            <w:r w:rsidR="00FC1D3B" w:rsidRPr="00FC1D3B">
              <w:rPr>
                <w:rFonts w:ascii="Times" w:hAnsi="Times" w:cs="Arial"/>
              </w:rPr>
              <w:t xml:space="preserve">eeting address the </w:t>
            </w:r>
            <w:r>
              <w:rPr>
                <w:rFonts w:ascii="Times" w:hAnsi="Times" w:cs="Arial"/>
              </w:rPr>
              <w:t>s</w:t>
            </w:r>
            <w:r w:rsidR="00FC1D3B" w:rsidRPr="00FC1D3B">
              <w:rPr>
                <w:rFonts w:ascii="Times" w:hAnsi="Times" w:cs="Arial"/>
              </w:rPr>
              <w:t>cope of the document to better reflect how can be show that the Regulations are being complied with.</w:t>
            </w:r>
          </w:p>
          <w:p w:rsidR="00FC1D3B" w:rsidRDefault="00FC1D3B" w:rsidP="00FC1D3B">
            <w:pPr>
              <w:pStyle w:val="Default"/>
              <w:numPr>
                <w:ilvl w:val="0"/>
                <w:numId w:val="43"/>
              </w:numPr>
              <w:spacing w:before="240"/>
              <w:ind w:left="1170"/>
              <w:rPr>
                <w:rFonts w:ascii="Times" w:hAnsi="Times" w:cs="Arial"/>
              </w:rPr>
            </w:pPr>
            <w:r w:rsidRPr="00FC1D3B">
              <w:rPr>
                <w:rFonts w:ascii="Times" w:hAnsi="Times" w:cs="Arial"/>
              </w:rPr>
              <w:t xml:space="preserve">As TS-G-1.5 refers primarily to safety aspects of transport and </w:t>
            </w:r>
            <w:r w:rsidR="006A7B81">
              <w:rPr>
                <w:rFonts w:ascii="Times" w:hAnsi="Times" w:cs="Arial"/>
              </w:rPr>
              <w:t>s</w:t>
            </w:r>
            <w:r w:rsidRPr="00FC1D3B">
              <w:rPr>
                <w:rFonts w:ascii="Times" w:hAnsi="Times" w:cs="Arial"/>
              </w:rPr>
              <w:t>ecurity issues of transport are addressed in Security Series document (e.g. NSS 9, NSS 13).</w:t>
            </w:r>
            <w:r w:rsidR="006A7B81">
              <w:rPr>
                <w:rFonts w:ascii="Times" w:hAnsi="Times" w:cs="Arial"/>
              </w:rPr>
              <w:t xml:space="preserve">  This separation needs to be better explained.</w:t>
            </w:r>
          </w:p>
          <w:p w:rsidR="00D91C91" w:rsidRDefault="00D91C91" w:rsidP="00D91C91">
            <w:pPr>
              <w:pStyle w:val="Default"/>
              <w:spacing w:after="120"/>
              <w:ind w:left="810"/>
              <w:rPr>
                <w:rFonts w:ascii="Times" w:hAnsi="Times" w:cs="Arial"/>
              </w:rPr>
            </w:pPr>
          </w:p>
          <w:p w:rsidR="00BB5A39" w:rsidRPr="00E13C49" w:rsidRDefault="00BB5A39" w:rsidP="00B708B6">
            <w:pPr>
              <w:pStyle w:val="Default"/>
              <w:numPr>
                <w:ilvl w:val="0"/>
                <w:numId w:val="43"/>
              </w:numPr>
              <w:spacing w:after="120"/>
              <w:rPr>
                <w:rFonts w:ascii="Times" w:hAnsi="Times" w:cs="Arial"/>
              </w:rPr>
            </w:pPr>
            <w:r w:rsidRPr="00E13C49">
              <w:rPr>
                <w:rFonts w:ascii="Times" w:hAnsi="Times" w:cs="Arial"/>
              </w:rPr>
              <w:t>A number of IAEA documents were</w:t>
            </w:r>
            <w:r w:rsidR="000C46F3">
              <w:rPr>
                <w:rFonts w:ascii="Times" w:hAnsi="Times" w:cs="Arial"/>
              </w:rPr>
              <w:t xml:space="preserve"> reviewed by TRANSSC</w:t>
            </w:r>
            <w:r w:rsidRPr="00E13C49">
              <w:rPr>
                <w:rFonts w:ascii="Times" w:hAnsi="Times" w:cs="Arial"/>
              </w:rPr>
              <w:t>.</w:t>
            </w:r>
            <w:r w:rsidR="000C46F3">
              <w:rPr>
                <w:rFonts w:ascii="Times" w:hAnsi="Times" w:cs="Arial"/>
              </w:rPr>
              <w:t xml:space="preserve">  These were mostly documents relating to Nuclear Reactors</w:t>
            </w:r>
            <w:r w:rsidR="0098547A">
              <w:rPr>
                <w:rFonts w:ascii="Times" w:hAnsi="Times" w:cs="Arial"/>
              </w:rPr>
              <w:t xml:space="preserve"> </w:t>
            </w:r>
            <w:proofErr w:type="gramStart"/>
            <w:r w:rsidR="0098547A">
              <w:rPr>
                <w:rFonts w:ascii="Times" w:hAnsi="Times" w:cs="Arial"/>
              </w:rPr>
              <w:t>and  Nuclear</w:t>
            </w:r>
            <w:proofErr w:type="gramEnd"/>
            <w:r w:rsidR="0098547A">
              <w:rPr>
                <w:rFonts w:ascii="Times" w:hAnsi="Times" w:cs="Arial"/>
              </w:rPr>
              <w:t xml:space="preserve"> Security</w:t>
            </w:r>
            <w:r w:rsidR="000C46F3">
              <w:rPr>
                <w:rFonts w:ascii="Times" w:hAnsi="Times" w:cs="Arial"/>
              </w:rPr>
              <w:t>.</w:t>
            </w:r>
          </w:p>
          <w:p w:rsidR="0098547A" w:rsidRDefault="00076E6A" w:rsidP="00076E6A">
            <w:pPr>
              <w:pStyle w:val="Default"/>
              <w:numPr>
                <w:ilvl w:val="0"/>
                <w:numId w:val="43"/>
              </w:numPr>
              <w:spacing w:after="12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TS-G-1.2, Emergency </w:t>
            </w:r>
            <w:proofErr w:type="spellStart"/>
            <w:r>
              <w:rPr>
                <w:rFonts w:ascii="Times" w:hAnsi="Times" w:cs="Arial"/>
              </w:rPr>
              <w:t>Preparadness</w:t>
            </w:r>
            <w:proofErr w:type="spellEnd"/>
            <w:r>
              <w:rPr>
                <w:rFonts w:ascii="Times" w:hAnsi="Times" w:cs="Arial"/>
              </w:rPr>
              <w:t xml:space="preserve"> and Response, was also reviewed.  This guidance document is being </w:t>
            </w:r>
            <w:proofErr w:type="spellStart"/>
            <w:r>
              <w:rPr>
                <w:rFonts w:ascii="Times" w:hAnsi="Times" w:cs="Arial"/>
              </w:rPr>
              <w:t>revied</w:t>
            </w:r>
            <w:proofErr w:type="spellEnd"/>
            <w:r>
              <w:rPr>
                <w:rFonts w:ascii="Times" w:hAnsi="Times" w:cs="Arial"/>
              </w:rPr>
              <w:t xml:space="preserve"> by EPRESC.  A consultancy meeting was held to review the current draft of the document. It was found to be </w:t>
            </w:r>
            <w:r w:rsidRPr="00076E6A">
              <w:rPr>
                <w:rFonts w:ascii="Times" w:hAnsi="Times" w:cs="Arial"/>
              </w:rPr>
              <w:t>clearly written and comprehensive</w:t>
            </w:r>
            <w:r>
              <w:rPr>
                <w:rFonts w:ascii="Times" w:hAnsi="Times" w:cs="Arial"/>
              </w:rPr>
              <w:t>.</w:t>
            </w:r>
          </w:p>
          <w:p w:rsidR="00076E6A" w:rsidRDefault="00076E6A" w:rsidP="00BB5A39">
            <w:pPr>
              <w:pStyle w:val="Default"/>
              <w:numPr>
                <w:ilvl w:val="0"/>
                <w:numId w:val="43"/>
              </w:numPr>
              <w:spacing w:after="120"/>
              <w:rPr>
                <w:rFonts w:ascii="Times" w:hAnsi="Times" w:cs="Arial"/>
              </w:rPr>
            </w:pPr>
            <w:r w:rsidRPr="00076E6A">
              <w:rPr>
                <w:rFonts w:ascii="Times" w:hAnsi="Times" w:cs="Arial"/>
              </w:rPr>
              <w:t xml:space="preserve">There was a presentation on the Safety and Security Interface document.  The document continues to be developed with </w:t>
            </w:r>
            <w:r w:rsidR="00BB5A39" w:rsidRPr="00076E6A">
              <w:rPr>
                <w:rFonts w:ascii="Times" w:hAnsi="Times" w:cs="Arial"/>
              </w:rPr>
              <w:t>expected publi</w:t>
            </w:r>
            <w:r w:rsidRPr="00076E6A">
              <w:rPr>
                <w:rFonts w:ascii="Times" w:hAnsi="Times" w:cs="Arial"/>
              </w:rPr>
              <w:t xml:space="preserve">cation </w:t>
            </w:r>
            <w:r w:rsidR="00BB5A39" w:rsidRPr="00076E6A">
              <w:rPr>
                <w:rFonts w:ascii="Times" w:hAnsi="Times" w:cs="Arial"/>
              </w:rPr>
              <w:t>in 2018.</w:t>
            </w:r>
            <w:r w:rsidR="00B708B6" w:rsidRPr="00076E6A">
              <w:rPr>
                <w:rFonts w:ascii="Times" w:hAnsi="Times" w:cs="Arial"/>
              </w:rPr>
              <w:t xml:space="preserve">  </w:t>
            </w:r>
          </w:p>
          <w:p w:rsidR="00497F74" w:rsidRDefault="00076E6A" w:rsidP="00BB5A39">
            <w:pPr>
              <w:pStyle w:val="Default"/>
              <w:numPr>
                <w:ilvl w:val="0"/>
                <w:numId w:val="43"/>
              </w:numPr>
              <w:spacing w:after="12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TRANSCC is establishing Technical Expert Groups to discuss certain topical areas</w:t>
            </w:r>
            <w:r w:rsidR="00BB5A39" w:rsidRPr="00076E6A">
              <w:rPr>
                <w:rFonts w:ascii="Times" w:hAnsi="Times" w:cs="Arial"/>
              </w:rPr>
              <w:t>.</w:t>
            </w:r>
            <w:r w:rsidR="00497F74">
              <w:rPr>
                <w:rFonts w:ascii="Times" w:hAnsi="Times" w:cs="Arial"/>
              </w:rPr>
              <w:t xml:space="preserve">  ISSPA has been signed up as </w:t>
            </w:r>
            <w:r w:rsidR="006A7B81">
              <w:rPr>
                <w:rFonts w:ascii="Times" w:hAnsi="Times" w:cs="Arial"/>
              </w:rPr>
              <w:t xml:space="preserve">an </w:t>
            </w:r>
            <w:r w:rsidR="00497F74">
              <w:rPr>
                <w:rFonts w:ascii="Times" w:hAnsi="Times" w:cs="Arial"/>
              </w:rPr>
              <w:t xml:space="preserve">interested </w:t>
            </w:r>
            <w:r w:rsidR="006A7B81">
              <w:rPr>
                <w:rFonts w:ascii="Times" w:hAnsi="Times" w:cs="Arial"/>
              </w:rPr>
              <w:t xml:space="preserve">party </w:t>
            </w:r>
            <w:r w:rsidR="00497F74">
              <w:rPr>
                <w:rFonts w:ascii="Times" w:hAnsi="Times" w:cs="Arial"/>
              </w:rPr>
              <w:t>in 3 of the 4 topics; Radiation Protection, Packaging Performance and Transportation Matters.  We did not sign up for the Criticality group.</w:t>
            </w:r>
          </w:p>
          <w:p w:rsidR="00B708B6" w:rsidRPr="00076E6A" w:rsidRDefault="00497F74" w:rsidP="00BB5A39">
            <w:pPr>
              <w:pStyle w:val="Default"/>
              <w:numPr>
                <w:ilvl w:val="0"/>
                <w:numId w:val="43"/>
              </w:numPr>
              <w:spacing w:after="12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There was an update on the PDSR (Package Design Safety Report).  It is expected that a draft will be presented at the next TRANSSC meeting.</w:t>
            </w:r>
            <w:r w:rsidR="00BB5A39" w:rsidRPr="00076E6A">
              <w:rPr>
                <w:rFonts w:ascii="Times" w:hAnsi="Times" w:cs="Arial"/>
              </w:rPr>
              <w:t xml:space="preserve">  </w:t>
            </w:r>
          </w:p>
          <w:p w:rsidR="00BB5A39" w:rsidRPr="00497F74" w:rsidRDefault="00BB5A39" w:rsidP="00497F74">
            <w:pPr>
              <w:pStyle w:val="Default"/>
              <w:numPr>
                <w:ilvl w:val="0"/>
                <w:numId w:val="43"/>
              </w:numPr>
              <w:spacing w:after="120"/>
              <w:rPr>
                <w:rFonts w:ascii="Times" w:hAnsi="Times" w:cs="Arial"/>
              </w:rPr>
            </w:pPr>
            <w:r w:rsidRPr="00497F74">
              <w:rPr>
                <w:rFonts w:ascii="Times" w:hAnsi="Times" w:cs="Arial"/>
              </w:rPr>
              <w:t>The meeting closed out with updates from the UN and International Bodies and updates from the IAEA Secretariat.</w:t>
            </w:r>
            <w:r w:rsidR="00497F74" w:rsidRPr="00497F74">
              <w:rPr>
                <w:rFonts w:ascii="Times" w:hAnsi="Times" w:cs="Arial"/>
              </w:rPr>
              <w:t xml:space="preserve">  ICAO noted that a new publication of their </w:t>
            </w:r>
            <w:r w:rsidR="00497F74" w:rsidRPr="00497F74">
              <w:rPr>
                <w:rFonts w:ascii="Times" w:hAnsi="Times" w:cs="Arial"/>
                <w:i/>
                <w:iCs/>
              </w:rPr>
              <w:t>Technical Instructions for the Safe Transport of Dangerous Goods by Air</w:t>
            </w:r>
            <w:r w:rsidR="00497F74">
              <w:rPr>
                <w:rFonts w:ascii="Times" w:hAnsi="Times" w:cs="Arial"/>
                <w:iCs/>
              </w:rPr>
              <w:t xml:space="preserve"> document will be published in late 2018 for use as of January 1, 2019.</w:t>
            </w:r>
          </w:p>
          <w:p w:rsidR="00BB5A39" w:rsidRPr="00E13C49" w:rsidRDefault="00BB5A39" w:rsidP="00BB5A39">
            <w:pPr>
              <w:pStyle w:val="Default"/>
              <w:numPr>
                <w:ilvl w:val="0"/>
                <w:numId w:val="43"/>
              </w:numPr>
              <w:spacing w:after="120"/>
              <w:rPr>
                <w:rFonts w:ascii="Times" w:hAnsi="Times" w:cs="Arial"/>
              </w:rPr>
            </w:pPr>
            <w:r w:rsidRPr="00E13C49">
              <w:rPr>
                <w:rFonts w:ascii="Times" w:hAnsi="Times" w:cs="Arial"/>
              </w:rPr>
              <w:t>The next TRAN</w:t>
            </w:r>
            <w:r w:rsidR="00497F74">
              <w:rPr>
                <w:rFonts w:ascii="Times" w:hAnsi="Times" w:cs="Arial"/>
              </w:rPr>
              <w:t>SSC meeting is scheduled for June 2018</w:t>
            </w:r>
            <w:r w:rsidRPr="00E13C49">
              <w:rPr>
                <w:rFonts w:ascii="Times" w:hAnsi="Times" w:cs="Arial"/>
              </w:rPr>
              <w:t>.</w:t>
            </w:r>
          </w:p>
          <w:p w:rsidR="003E457E" w:rsidRPr="00E13C49" w:rsidRDefault="003E457E" w:rsidP="002F5975">
            <w:pPr>
              <w:pStyle w:val="TableParagraph"/>
              <w:spacing w:before="60" w:after="120"/>
              <w:ind w:left="115"/>
              <w:rPr>
                <w:rFonts w:ascii="Times" w:hAnsi="Times"/>
                <w:spacing w:val="-1"/>
                <w:sz w:val="24"/>
                <w:szCs w:val="24"/>
              </w:rPr>
            </w:pPr>
          </w:p>
        </w:tc>
      </w:tr>
      <w:tr w:rsidR="00AE5044" w:rsidRPr="00E13C49" w:rsidTr="00436E02">
        <w:trPr>
          <w:jc w:val="center"/>
        </w:trPr>
        <w:tc>
          <w:tcPr>
            <w:tcW w:w="10360" w:type="dxa"/>
            <w:gridSpan w:val="2"/>
            <w:shd w:val="clear" w:color="auto" w:fill="auto"/>
          </w:tcPr>
          <w:p w:rsidR="00AE5044" w:rsidRPr="00E13C49" w:rsidRDefault="00AE5044" w:rsidP="007C0858">
            <w:pPr>
              <w:spacing w:before="40"/>
              <w:rPr>
                <w:rFonts w:ascii="Times" w:eastAsia="Times New Roman" w:hAnsi="Times"/>
                <w:szCs w:val="24"/>
              </w:rPr>
            </w:pPr>
          </w:p>
        </w:tc>
      </w:tr>
    </w:tbl>
    <w:p w:rsidR="0034181C" w:rsidRPr="0034181C" w:rsidRDefault="0034181C" w:rsidP="00973FCD">
      <w:pPr>
        <w:rPr>
          <w:sz w:val="22"/>
          <w:szCs w:val="22"/>
        </w:rPr>
      </w:pPr>
    </w:p>
    <w:sectPr w:rsidR="0034181C" w:rsidRPr="0034181C" w:rsidSect="0021468D">
      <w:headerReference w:type="default" r:id="rId9"/>
      <w:footerReference w:type="default" r:id="rId10"/>
      <w:headerReference w:type="first" r:id="rId11"/>
      <w:pgSz w:w="12240" w:h="15840" w:code="1"/>
      <w:pgMar w:top="3830" w:right="1613" w:bottom="1555" w:left="1757" w:header="0" w:footer="11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7C" w:rsidRDefault="0016047C">
      <w:r>
        <w:separator/>
      </w:r>
    </w:p>
  </w:endnote>
  <w:endnote w:type="continuationSeparator" w:id="0">
    <w:p w:rsidR="0016047C" w:rsidRDefault="0016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+H Serif Light">
    <w:altName w:val="E+H Serif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71"/>
      <w:gridCol w:w="5397"/>
      <w:gridCol w:w="1418"/>
    </w:tblGrid>
    <w:tr w:rsidR="003E4AFC" w:rsidRPr="003E4AFC" w:rsidTr="00A46723">
      <w:tc>
        <w:tcPr>
          <w:tcW w:w="2271" w:type="dxa"/>
          <w:shd w:val="clear" w:color="auto" w:fill="auto"/>
        </w:tcPr>
        <w:p w:rsidR="003E4AFC" w:rsidRPr="003E4AFC" w:rsidRDefault="003E4AFC" w:rsidP="00A46723">
          <w:pPr>
            <w:pStyle w:val="Footer"/>
            <w:rPr>
              <w:rFonts w:ascii="Times New Roman" w:hAnsi="Times New Roman"/>
              <w:lang w:val="en-US"/>
            </w:rPr>
          </w:pPr>
        </w:p>
      </w:tc>
      <w:tc>
        <w:tcPr>
          <w:tcW w:w="5397" w:type="dxa"/>
          <w:shd w:val="clear" w:color="auto" w:fill="auto"/>
        </w:tcPr>
        <w:p w:rsidR="003E4AFC" w:rsidRPr="003E4AFC" w:rsidRDefault="003E4AFC" w:rsidP="00585A75">
          <w:pPr>
            <w:pStyle w:val="Footer"/>
            <w:rPr>
              <w:rFonts w:ascii="Times New Roman" w:hAnsi="Times New Roman"/>
              <w:lang w:val="en-US"/>
            </w:rPr>
          </w:pPr>
        </w:p>
      </w:tc>
      <w:tc>
        <w:tcPr>
          <w:tcW w:w="1418" w:type="dxa"/>
          <w:shd w:val="clear" w:color="auto" w:fill="auto"/>
        </w:tcPr>
        <w:p w:rsidR="003E4AFC" w:rsidRPr="003E4AFC" w:rsidRDefault="003E4AFC" w:rsidP="003E4AFC">
          <w:pPr>
            <w:pStyle w:val="Footer"/>
            <w:jc w:val="right"/>
            <w:rPr>
              <w:rFonts w:ascii="Times New Roman" w:hAnsi="Times New Roman"/>
            </w:rPr>
          </w:pPr>
          <w:r w:rsidRPr="003E4AFC">
            <w:rPr>
              <w:rFonts w:ascii="Times New Roman" w:hAnsi="Times New Roman"/>
            </w:rPr>
            <w:t xml:space="preserve">Page </w:t>
          </w:r>
          <w:r w:rsidRPr="003E4AFC">
            <w:rPr>
              <w:rFonts w:ascii="Times New Roman" w:hAnsi="Times New Roman"/>
              <w:bCs/>
            </w:rPr>
            <w:fldChar w:fldCharType="begin"/>
          </w:r>
          <w:r w:rsidRPr="003E4AFC">
            <w:rPr>
              <w:rFonts w:ascii="Times New Roman" w:hAnsi="Times New Roman"/>
              <w:bCs/>
            </w:rPr>
            <w:instrText xml:space="preserve"> PAGE  \* Arabic  \* MERGEFORMAT </w:instrText>
          </w:r>
          <w:r w:rsidRPr="003E4AFC">
            <w:rPr>
              <w:rFonts w:ascii="Times New Roman" w:hAnsi="Times New Roman"/>
              <w:bCs/>
            </w:rPr>
            <w:fldChar w:fldCharType="separate"/>
          </w:r>
          <w:r w:rsidR="00E90236">
            <w:rPr>
              <w:rFonts w:ascii="Times New Roman" w:hAnsi="Times New Roman"/>
              <w:bCs/>
              <w:noProof/>
            </w:rPr>
            <w:t>2</w:t>
          </w:r>
          <w:r w:rsidRPr="003E4AFC">
            <w:rPr>
              <w:rFonts w:ascii="Times New Roman" w:hAnsi="Times New Roman"/>
              <w:bCs/>
            </w:rPr>
            <w:fldChar w:fldCharType="end"/>
          </w:r>
          <w:r w:rsidRPr="003E4AFC">
            <w:rPr>
              <w:rFonts w:ascii="Times New Roman" w:hAnsi="Times New Roman"/>
            </w:rPr>
            <w:t xml:space="preserve"> of </w:t>
          </w:r>
          <w:r w:rsidRPr="003E4AFC">
            <w:rPr>
              <w:rFonts w:ascii="Times New Roman" w:hAnsi="Times New Roman"/>
              <w:bCs/>
            </w:rPr>
            <w:fldChar w:fldCharType="begin"/>
          </w:r>
          <w:r w:rsidRPr="003E4AFC">
            <w:rPr>
              <w:rFonts w:ascii="Times New Roman" w:hAnsi="Times New Roman"/>
              <w:bCs/>
            </w:rPr>
            <w:instrText xml:space="preserve"> NUMPAGES  \* Arabic  \* MERGEFORMAT </w:instrText>
          </w:r>
          <w:r w:rsidRPr="003E4AFC">
            <w:rPr>
              <w:rFonts w:ascii="Times New Roman" w:hAnsi="Times New Roman"/>
              <w:bCs/>
            </w:rPr>
            <w:fldChar w:fldCharType="separate"/>
          </w:r>
          <w:r w:rsidR="00E90236">
            <w:rPr>
              <w:rFonts w:ascii="Times New Roman" w:hAnsi="Times New Roman"/>
              <w:bCs/>
              <w:noProof/>
            </w:rPr>
            <w:t>3</w:t>
          </w:r>
          <w:r w:rsidRPr="003E4AFC">
            <w:rPr>
              <w:rFonts w:ascii="Times New Roman" w:hAnsi="Times New Roman"/>
              <w:bCs/>
            </w:rPr>
            <w:fldChar w:fldCharType="end"/>
          </w:r>
        </w:p>
      </w:tc>
    </w:tr>
  </w:tbl>
  <w:p w:rsidR="003D42F4" w:rsidRPr="0054058B" w:rsidRDefault="003D42F4" w:rsidP="0086660C">
    <w:pPr>
      <w:pStyle w:val="Footer"/>
      <w:tabs>
        <w:tab w:val="clear" w:pos="8640"/>
      </w:tabs>
      <w:ind w:left="-1800" w:right="-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7C" w:rsidRDefault="0016047C">
      <w:r>
        <w:separator/>
      </w:r>
    </w:p>
  </w:footnote>
  <w:footnote w:type="continuationSeparator" w:id="0">
    <w:p w:rsidR="0016047C" w:rsidRDefault="0016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F4" w:rsidRDefault="00216554" w:rsidP="0086660C">
    <w:pPr>
      <w:pStyle w:val="Header"/>
      <w:ind w:left="-1871"/>
      <w:jc w:val="both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-1188720</wp:posOffset>
          </wp:positionH>
          <wp:positionV relativeFrom="paragraph">
            <wp:posOffset>0</wp:posOffset>
          </wp:positionV>
          <wp:extent cx="7973695" cy="1864995"/>
          <wp:effectExtent l="0" t="0" r="0" b="0"/>
          <wp:wrapNone/>
          <wp:docPr id="4" name="Picture 4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3695" cy="186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8D" w:rsidRDefault="0021655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9286875</wp:posOffset>
          </wp:positionV>
          <wp:extent cx="7772400" cy="659765"/>
          <wp:effectExtent l="0" t="0" r="0" b="0"/>
          <wp:wrapNone/>
          <wp:docPr id="5" name="Picture 5" descr="ISSPA-eLetterhead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SSPA-eLetterhead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-1114425</wp:posOffset>
          </wp:positionH>
          <wp:positionV relativeFrom="paragraph">
            <wp:posOffset>0</wp:posOffset>
          </wp:positionV>
          <wp:extent cx="7799705" cy="3199130"/>
          <wp:effectExtent l="0" t="0" r="0" b="0"/>
          <wp:wrapNone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319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950"/>
    <w:multiLevelType w:val="hybridMultilevel"/>
    <w:tmpl w:val="D04A5A50"/>
    <w:lvl w:ilvl="0" w:tplc="EBF004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E40283"/>
    <w:multiLevelType w:val="hybridMultilevel"/>
    <w:tmpl w:val="9E3270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078C"/>
    <w:multiLevelType w:val="hybridMultilevel"/>
    <w:tmpl w:val="57B089FA"/>
    <w:lvl w:ilvl="0" w:tplc="10BC59D4">
      <w:start w:val="1"/>
      <w:numFmt w:val="decimal"/>
      <w:lvlText w:val="%1."/>
      <w:lvlJc w:val="left"/>
      <w:pPr>
        <w:ind w:left="-377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3">
    <w:nsid w:val="0CEC5D2B"/>
    <w:multiLevelType w:val="hybridMultilevel"/>
    <w:tmpl w:val="B20E4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3C7912"/>
    <w:multiLevelType w:val="hybridMultilevel"/>
    <w:tmpl w:val="F26E168C"/>
    <w:lvl w:ilvl="0" w:tplc="61F0CEEA">
      <w:start w:val="1"/>
      <w:numFmt w:val="lowerLetter"/>
      <w:lvlText w:val="%1."/>
      <w:lvlJc w:val="left"/>
      <w:pPr>
        <w:ind w:left="580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A1CED984">
      <w:start w:val="1"/>
      <w:numFmt w:val="bullet"/>
      <w:lvlText w:val="•"/>
      <w:lvlJc w:val="left"/>
      <w:pPr>
        <w:ind w:left="1336" w:hanging="361"/>
      </w:pPr>
      <w:rPr>
        <w:rFonts w:hint="default"/>
      </w:rPr>
    </w:lvl>
    <w:lvl w:ilvl="2" w:tplc="30D00FC6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3" w:tplc="7EEECD7E">
      <w:start w:val="1"/>
      <w:numFmt w:val="bullet"/>
      <w:lvlText w:val="•"/>
      <w:lvlJc w:val="left"/>
      <w:pPr>
        <w:ind w:left="2847" w:hanging="361"/>
      </w:pPr>
      <w:rPr>
        <w:rFonts w:hint="default"/>
      </w:rPr>
    </w:lvl>
    <w:lvl w:ilvl="4" w:tplc="F85EF600">
      <w:start w:val="1"/>
      <w:numFmt w:val="bullet"/>
      <w:lvlText w:val="•"/>
      <w:lvlJc w:val="left"/>
      <w:pPr>
        <w:ind w:left="3602" w:hanging="361"/>
      </w:pPr>
      <w:rPr>
        <w:rFonts w:hint="default"/>
      </w:rPr>
    </w:lvl>
    <w:lvl w:ilvl="5" w:tplc="29A06826">
      <w:start w:val="1"/>
      <w:numFmt w:val="bullet"/>
      <w:lvlText w:val="•"/>
      <w:lvlJc w:val="left"/>
      <w:pPr>
        <w:ind w:left="4358" w:hanging="361"/>
      </w:pPr>
      <w:rPr>
        <w:rFonts w:hint="default"/>
      </w:rPr>
    </w:lvl>
    <w:lvl w:ilvl="6" w:tplc="D062CF4C">
      <w:start w:val="1"/>
      <w:numFmt w:val="bullet"/>
      <w:lvlText w:val="•"/>
      <w:lvlJc w:val="left"/>
      <w:pPr>
        <w:ind w:left="5113" w:hanging="361"/>
      </w:pPr>
      <w:rPr>
        <w:rFonts w:hint="default"/>
      </w:rPr>
    </w:lvl>
    <w:lvl w:ilvl="7" w:tplc="2D5C7CEA">
      <w:start w:val="1"/>
      <w:numFmt w:val="bullet"/>
      <w:lvlText w:val="•"/>
      <w:lvlJc w:val="left"/>
      <w:pPr>
        <w:ind w:left="5869" w:hanging="361"/>
      </w:pPr>
      <w:rPr>
        <w:rFonts w:hint="default"/>
      </w:rPr>
    </w:lvl>
    <w:lvl w:ilvl="8" w:tplc="96B4F2FE">
      <w:start w:val="1"/>
      <w:numFmt w:val="bullet"/>
      <w:lvlText w:val="•"/>
      <w:lvlJc w:val="left"/>
      <w:pPr>
        <w:ind w:left="6625" w:hanging="361"/>
      </w:pPr>
      <w:rPr>
        <w:rFonts w:hint="default"/>
      </w:rPr>
    </w:lvl>
  </w:abstractNum>
  <w:abstractNum w:abstractNumId="5">
    <w:nsid w:val="13055A8E"/>
    <w:multiLevelType w:val="hybridMultilevel"/>
    <w:tmpl w:val="62E2CD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F7605"/>
    <w:multiLevelType w:val="hybridMultilevel"/>
    <w:tmpl w:val="ED602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4E1D"/>
    <w:multiLevelType w:val="hybridMultilevel"/>
    <w:tmpl w:val="BAD6142C"/>
    <w:lvl w:ilvl="0" w:tplc="C9626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  <w:u w:val="none"/>
      </w:rPr>
    </w:lvl>
    <w:lvl w:ilvl="1" w:tplc="85A6C770">
      <w:start w:val="1"/>
      <w:numFmt w:val="lowerLetter"/>
      <w:lvlText w:val="%2."/>
      <w:lvlJc w:val="left"/>
      <w:pPr>
        <w:tabs>
          <w:tab w:val="num" w:pos="99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83EE0"/>
    <w:multiLevelType w:val="hybridMultilevel"/>
    <w:tmpl w:val="1548AC06"/>
    <w:lvl w:ilvl="0" w:tplc="3C06143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FE84967"/>
    <w:multiLevelType w:val="hybridMultilevel"/>
    <w:tmpl w:val="709C6CC8"/>
    <w:lvl w:ilvl="0" w:tplc="8D7E89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B2640E">
      <w:start w:val="4"/>
      <w:numFmt w:val="lowerLetter"/>
      <w:lvlText w:val="%2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023548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41CC0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68FA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29702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2EE936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65024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303A54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5D1672"/>
    <w:multiLevelType w:val="hybridMultilevel"/>
    <w:tmpl w:val="713E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724DB"/>
    <w:multiLevelType w:val="hybridMultilevel"/>
    <w:tmpl w:val="983CAA7A"/>
    <w:lvl w:ilvl="0" w:tplc="10F6323C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226F3531"/>
    <w:multiLevelType w:val="hybridMultilevel"/>
    <w:tmpl w:val="BC186318"/>
    <w:lvl w:ilvl="0" w:tplc="85A6C77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2323B2"/>
    <w:multiLevelType w:val="hybridMultilevel"/>
    <w:tmpl w:val="A30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6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C1202"/>
    <w:multiLevelType w:val="hybridMultilevel"/>
    <w:tmpl w:val="21D44E4E"/>
    <w:lvl w:ilvl="0" w:tplc="DD602F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852ED"/>
    <w:multiLevelType w:val="hybridMultilevel"/>
    <w:tmpl w:val="F4ECA36A"/>
    <w:lvl w:ilvl="0" w:tplc="770441B4">
      <w:start w:val="2"/>
      <w:numFmt w:val="bullet"/>
      <w:lvlText w:val="-"/>
      <w:lvlJc w:val="left"/>
      <w:pPr>
        <w:ind w:left="3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6">
    <w:nsid w:val="3DBD33FB"/>
    <w:multiLevelType w:val="hybridMultilevel"/>
    <w:tmpl w:val="B2526C0C"/>
    <w:lvl w:ilvl="0" w:tplc="9BC4582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D1EFE"/>
    <w:multiLevelType w:val="hybridMultilevel"/>
    <w:tmpl w:val="5B52D4EA"/>
    <w:lvl w:ilvl="0" w:tplc="D49E67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88C082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22886">
      <w:start w:val="1"/>
      <w:numFmt w:val="bullet"/>
      <w:lvlRestart w:val="0"/>
      <w:lvlText w:val="•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CD4DE">
      <w:start w:val="1"/>
      <w:numFmt w:val="bullet"/>
      <w:lvlText w:val="•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E57EA">
      <w:start w:val="1"/>
      <w:numFmt w:val="bullet"/>
      <w:lvlText w:val="o"/>
      <w:lvlJc w:val="left"/>
      <w:pPr>
        <w:ind w:left="2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1691B2">
      <w:start w:val="1"/>
      <w:numFmt w:val="bullet"/>
      <w:lvlText w:val="▪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47B7A">
      <w:start w:val="1"/>
      <w:numFmt w:val="bullet"/>
      <w:lvlText w:val="•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00B786">
      <w:start w:val="1"/>
      <w:numFmt w:val="bullet"/>
      <w:lvlText w:val="o"/>
      <w:lvlJc w:val="left"/>
      <w:pPr>
        <w:ind w:left="4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88A158">
      <w:start w:val="1"/>
      <w:numFmt w:val="bullet"/>
      <w:lvlText w:val="▪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5742E9"/>
    <w:multiLevelType w:val="hybridMultilevel"/>
    <w:tmpl w:val="682E32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F1A6B16"/>
    <w:multiLevelType w:val="hybridMultilevel"/>
    <w:tmpl w:val="EDD007A2"/>
    <w:lvl w:ilvl="0" w:tplc="25E64DC4">
      <w:numFmt w:val="bullet"/>
      <w:lvlText w:val="-"/>
      <w:lvlJc w:val="left"/>
      <w:pPr>
        <w:ind w:left="1545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53467204"/>
    <w:multiLevelType w:val="hybridMultilevel"/>
    <w:tmpl w:val="89CE0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8624BE"/>
    <w:multiLevelType w:val="hybridMultilevel"/>
    <w:tmpl w:val="AA343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5204A"/>
    <w:multiLevelType w:val="hybridMultilevel"/>
    <w:tmpl w:val="7CDC75AA"/>
    <w:lvl w:ilvl="0" w:tplc="E7E6FE58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EA38BE"/>
    <w:multiLevelType w:val="hybridMultilevel"/>
    <w:tmpl w:val="30EC1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27F95"/>
    <w:multiLevelType w:val="hybridMultilevel"/>
    <w:tmpl w:val="88024D0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2509C3"/>
    <w:multiLevelType w:val="hybridMultilevel"/>
    <w:tmpl w:val="51F6B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4B71A96"/>
    <w:multiLevelType w:val="hybridMultilevel"/>
    <w:tmpl w:val="13983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1004A"/>
    <w:multiLevelType w:val="hybridMultilevel"/>
    <w:tmpl w:val="6D40C3EA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665E7AD4"/>
    <w:multiLevelType w:val="hybridMultilevel"/>
    <w:tmpl w:val="F238CF16"/>
    <w:lvl w:ilvl="0" w:tplc="158AC1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2674DC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269E3C">
      <w:start w:val="1"/>
      <w:numFmt w:val="bullet"/>
      <w:lvlRestart w:val="0"/>
      <w:lvlText w:val="•"/>
      <w:lvlJc w:val="left"/>
      <w:pPr>
        <w:ind w:left="1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C163C">
      <w:start w:val="1"/>
      <w:numFmt w:val="bullet"/>
      <w:lvlText w:val="•"/>
      <w:lvlJc w:val="left"/>
      <w:pPr>
        <w:ind w:left="1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EE6EA2">
      <w:start w:val="1"/>
      <w:numFmt w:val="bullet"/>
      <w:lvlText w:val="o"/>
      <w:lvlJc w:val="left"/>
      <w:pPr>
        <w:ind w:left="2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681F66">
      <w:start w:val="1"/>
      <w:numFmt w:val="bullet"/>
      <w:lvlText w:val="▪"/>
      <w:lvlJc w:val="left"/>
      <w:pPr>
        <w:ind w:left="3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D6DF20">
      <w:start w:val="1"/>
      <w:numFmt w:val="bullet"/>
      <w:lvlText w:val="•"/>
      <w:lvlJc w:val="left"/>
      <w:pPr>
        <w:ind w:left="3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121532">
      <w:start w:val="1"/>
      <w:numFmt w:val="bullet"/>
      <w:lvlText w:val="o"/>
      <w:lvlJc w:val="left"/>
      <w:pPr>
        <w:ind w:left="4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90CC5C">
      <w:start w:val="1"/>
      <w:numFmt w:val="bullet"/>
      <w:lvlText w:val="▪"/>
      <w:lvlJc w:val="left"/>
      <w:pPr>
        <w:ind w:left="5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6BC18A6"/>
    <w:multiLevelType w:val="hybridMultilevel"/>
    <w:tmpl w:val="BF42C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CD6EB9"/>
    <w:multiLevelType w:val="hybridMultilevel"/>
    <w:tmpl w:val="1132E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6C3528"/>
    <w:multiLevelType w:val="hybridMultilevel"/>
    <w:tmpl w:val="EBFA8C00"/>
    <w:lvl w:ilvl="0" w:tplc="609E06FC">
      <w:start w:val="1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41DE6480">
      <w:start w:val="1"/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EDFEB46E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75C223B2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4" w:tplc="B6123FCE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  <w:lvl w:ilvl="5" w:tplc="0EA2D5A8">
      <w:start w:val="1"/>
      <w:numFmt w:val="bullet"/>
      <w:lvlText w:val="•"/>
      <w:lvlJc w:val="left"/>
      <w:pPr>
        <w:ind w:left="3765" w:hanging="360"/>
      </w:pPr>
      <w:rPr>
        <w:rFonts w:hint="default"/>
      </w:rPr>
    </w:lvl>
    <w:lvl w:ilvl="6" w:tplc="1834F640">
      <w:start w:val="1"/>
      <w:numFmt w:val="bullet"/>
      <w:lvlText w:val="•"/>
      <w:lvlJc w:val="left"/>
      <w:pPr>
        <w:ind w:left="4423" w:hanging="360"/>
      </w:pPr>
      <w:rPr>
        <w:rFonts w:hint="default"/>
      </w:rPr>
    </w:lvl>
    <w:lvl w:ilvl="7" w:tplc="A238A70A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8" w:tplc="C6D470F0">
      <w:start w:val="1"/>
      <w:numFmt w:val="bullet"/>
      <w:lvlText w:val="•"/>
      <w:lvlJc w:val="left"/>
      <w:pPr>
        <w:ind w:left="5739" w:hanging="360"/>
      </w:pPr>
      <w:rPr>
        <w:rFonts w:hint="default"/>
      </w:rPr>
    </w:lvl>
  </w:abstractNum>
  <w:abstractNum w:abstractNumId="32">
    <w:nsid w:val="6BB2550C"/>
    <w:multiLevelType w:val="hybridMultilevel"/>
    <w:tmpl w:val="0AD29A4E"/>
    <w:lvl w:ilvl="0" w:tplc="7C00A64A">
      <w:start w:val="1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F0A2490"/>
    <w:multiLevelType w:val="hybridMultilevel"/>
    <w:tmpl w:val="D4EE27E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F3C124A"/>
    <w:multiLevelType w:val="hybridMultilevel"/>
    <w:tmpl w:val="A2528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962964"/>
    <w:multiLevelType w:val="hybridMultilevel"/>
    <w:tmpl w:val="49500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90272"/>
    <w:multiLevelType w:val="hybridMultilevel"/>
    <w:tmpl w:val="F86A9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8A6823"/>
    <w:multiLevelType w:val="hybridMultilevel"/>
    <w:tmpl w:val="BC84C2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7A55625C"/>
    <w:multiLevelType w:val="hybridMultilevel"/>
    <w:tmpl w:val="BDAE3920"/>
    <w:lvl w:ilvl="0" w:tplc="60367C30">
      <w:start w:val="201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E44D8"/>
    <w:multiLevelType w:val="hybridMultilevel"/>
    <w:tmpl w:val="BC9C3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93699"/>
    <w:multiLevelType w:val="hybridMultilevel"/>
    <w:tmpl w:val="B5282D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E402A"/>
    <w:multiLevelType w:val="hybridMultilevel"/>
    <w:tmpl w:val="8108B676"/>
    <w:lvl w:ilvl="0" w:tplc="75CA5CB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B339E8"/>
    <w:multiLevelType w:val="hybridMultilevel"/>
    <w:tmpl w:val="90EC2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1"/>
  </w:num>
  <w:num w:numId="5">
    <w:abstractNumId w:val="38"/>
  </w:num>
  <w:num w:numId="6">
    <w:abstractNumId w:val="27"/>
  </w:num>
  <w:num w:numId="7">
    <w:abstractNumId w:val="30"/>
  </w:num>
  <w:num w:numId="8">
    <w:abstractNumId w:val="29"/>
  </w:num>
  <w:num w:numId="9">
    <w:abstractNumId w:val="20"/>
  </w:num>
  <w:num w:numId="10">
    <w:abstractNumId w:val="18"/>
  </w:num>
  <w:num w:numId="11">
    <w:abstractNumId w:val="34"/>
  </w:num>
  <w:num w:numId="12">
    <w:abstractNumId w:val="5"/>
  </w:num>
  <w:num w:numId="13">
    <w:abstractNumId w:val="39"/>
  </w:num>
  <w:num w:numId="14">
    <w:abstractNumId w:val="19"/>
  </w:num>
  <w:num w:numId="15">
    <w:abstractNumId w:val="7"/>
  </w:num>
  <w:num w:numId="16">
    <w:abstractNumId w:val="33"/>
  </w:num>
  <w:num w:numId="17">
    <w:abstractNumId w:val="8"/>
  </w:num>
  <w:num w:numId="18">
    <w:abstractNumId w:val="37"/>
  </w:num>
  <w:num w:numId="19">
    <w:abstractNumId w:val="25"/>
  </w:num>
  <w:num w:numId="20">
    <w:abstractNumId w:val="12"/>
  </w:num>
  <w:num w:numId="21">
    <w:abstractNumId w:val="0"/>
  </w:num>
  <w:num w:numId="22">
    <w:abstractNumId w:val="32"/>
  </w:num>
  <w:num w:numId="23">
    <w:abstractNumId w:val="24"/>
  </w:num>
  <w:num w:numId="24">
    <w:abstractNumId w:val="42"/>
  </w:num>
  <w:num w:numId="25">
    <w:abstractNumId w:val="36"/>
  </w:num>
  <w:num w:numId="26">
    <w:abstractNumId w:val="11"/>
  </w:num>
  <w:num w:numId="27">
    <w:abstractNumId w:val="15"/>
  </w:num>
  <w:num w:numId="28">
    <w:abstractNumId w:val="41"/>
  </w:num>
  <w:num w:numId="29">
    <w:abstractNumId w:val="40"/>
  </w:num>
  <w:num w:numId="30">
    <w:abstractNumId w:val="14"/>
  </w:num>
  <w:num w:numId="31">
    <w:abstractNumId w:val="16"/>
  </w:num>
  <w:num w:numId="32">
    <w:abstractNumId w:val="26"/>
  </w:num>
  <w:num w:numId="33">
    <w:abstractNumId w:val="10"/>
  </w:num>
  <w:num w:numId="34">
    <w:abstractNumId w:val="4"/>
  </w:num>
  <w:num w:numId="35">
    <w:abstractNumId w:val="31"/>
  </w:num>
  <w:num w:numId="36">
    <w:abstractNumId w:val="9"/>
  </w:num>
  <w:num w:numId="37">
    <w:abstractNumId w:val="17"/>
  </w:num>
  <w:num w:numId="38">
    <w:abstractNumId w:val="28"/>
  </w:num>
  <w:num w:numId="39">
    <w:abstractNumId w:val="35"/>
  </w:num>
  <w:num w:numId="40">
    <w:abstractNumId w:val="6"/>
  </w:num>
  <w:num w:numId="41">
    <w:abstractNumId w:val="22"/>
  </w:num>
  <w:num w:numId="42">
    <w:abstractNumId w:val="2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8B"/>
    <w:rsid w:val="00001248"/>
    <w:rsid w:val="00002D61"/>
    <w:rsid w:val="000103F7"/>
    <w:rsid w:val="00012BF3"/>
    <w:rsid w:val="00076E6A"/>
    <w:rsid w:val="00096760"/>
    <w:rsid w:val="0009732D"/>
    <w:rsid w:val="000C46F3"/>
    <w:rsid w:val="000E1709"/>
    <w:rsid w:val="000F0153"/>
    <w:rsid w:val="000F09EA"/>
    <w:rsid w:val="00133541"/>
    <w:rsid w:val="00142604"/>
    <w:rsid w:val="0016047C"/>
    <w:rsid w:val="00170C89"/>
    <w:rsid w:val="00170F4B"/>
    <w:rsid w:val="0018456D"/>
    <w:rsid w:val="0019082E"/>
    <w:rsid w:val="001A2BAF"/>
    <w:rsid w:val="001C4BFA"/>
    <w:rsid w:val="001C6B7D"/>
    <w:rsid w:val="001D0135"/>
    <w:rsid w:val="001E7759"/>
    <w:rsid w:val="00205F24"/>
    <w:rsid w:val="00206C47"/>
    <w:rsid w:val="002109FD"/>
    <w:rsid w:val="00212945"/>
    <w:rsid w:val="0021468D"/>
    <w:rsid w:val="00216554"/>
    <w:rsid w:val="002166DB"/>
    <w:rsid w:val="00221C23"/>
    <w:rsid w:val="00222FAB"/>
    <w:rsid w:val="00230D7D"/>
    <w:rsid w:val="00235561"/>
    <w:rsid w:val="0023628D"/>
    <w:rsid w:val="002400D5"/>
    <w:rsid w:val="002419EB"/>
    <w:rsid w:val="002427C5"/>
    <w:rsid w:val="00270747"/>
    <w:rsid w:val="00284299"/>
    <w:rsid w:val="00284527"/>
    <w:rsid w:val="002921F0"/>
    <w:rsid w:val="00295DF3"/>
    <w:rsid w:val="002A45D2"/>
    <w:rsid w:val="002A5EB3"/>
    <w:rsid w:val="002A6428"/>
    <w:rsid w:val="002B0D2A"/>
    <w:rsid w:val="002B15E6"/>
    <w:rsid w:val="002B49F4"/>
    <w:rsid w:val="002B73F0"/>
    <w:rsid w:val="002C044F"/>
    <w:rsid w:val="002C329F"/>
    <w:rsid w:val="002C3EA0"/>
    <w:rsid w:val="002C519B"/>
    <w:rsid w:val="002E4046"/>
    <w:rsid w:val="002F10A8"/>
    <w:rsid w:val="002F5975"/>
    <w:rsid w:val="002F6549"/>
    <w:rsid w:val="003005CE"/>
    <w:rsid w:val="00300A5A"/>
    <w:rsid w:val="00304344"/>
    <w:rsid w:val="00313243"/>
    <w:rsid w:val="0031780E"/>
    <w:rsid w:val="0032480B"/>
    <w:rsid w:val="003337CD"/>
    <w:rsid w:val="0034181C"/>
    <w:rsid w:val="0035330C"/>
    <w:rsid w:val="003638F6"/>
    <w:rsid w:val="00373A73"/>
    <w:rsid w:val="00380611"/>
    <w:rsid w:val="003857DF"/>
    <w:rsid w:val="003962A8"/>
    <w:rsid w:val="003B5954"/>
    <w:rsid w:val="003B6170"/>
    <w:rsid w:val="003C037E"/>
    <w:rsid w:val="003D2552"/>
    <w:rsid w:val="003D273E"/>
    <w:rsid w:val="003D42F4"/>
    <w:rsid w:val="003E457E"/>
    <w:rsid w:val="003E4AFC"/>
    <w:rsid w:val="003F2AAD"/>
    <w:rsid w:val="003F3B64"/>
    <w:rsid w:val="003F4A3B"/>
    <w:rsid w:val="004076D7"/>
    <w:rsid w:val="00410261"/>
    <w:rsid w:val="0041509F"/>
    <w:rsid w:val="00416069"/>
    <w:rsid w:val="0043170A"/>
    <w:rsid w:val="00435F0D"/>
    <w:rsid w:val="00436E02"/>
    <w:rsid w:val="004378E0"/>
    <w:rsid w:val="004403AE"/>
    <w:rsid w:val="0045175B"/>
    <w:rsid w:val="00452006"/>
    <w:rsid w:val="004525A2"/>
    <w:rsid w:val="004702CB"/>
    <w:rsid w:val="004749E5"/>
    <w:rsid w:val="0047504F"/>
    <w:rsid w:val="0048289D"/>
    <w:rsid w:val="00482D48"/>
    <w:rsid w:val="00497259"/>
    <w:rsid w:val="00497F74"/>
    <w:rsid w:val="004B75CC"/>
    <w:rsid w:val="004D2030"/>
    <w:rsid w:val="004D2A71"/>
    <w:rsid w:val="004D6CBB"/>
    <w:rsid w:val="004E13A2"/>
    <w:rsid w:val="004F70F8"/>
    <w:rsid w:val="0050203C"/>
    <w:rsid w:val="00512EDF"/>
    <w:rsid w:val="00516903"/>
    <w:rsid w:val="0053711F"/>
    <w:rsid w:val="0054058B"/>
    <w:rsid w:val="005518D4"/>
    <w:rsid w:val="00551E7D"/>
    <w:rsid w:val="00555A2D"/>
    <w:rsid w:val="00562493"/>
    <w:rsid w:val="00562E1C"/>
    <w:rsid w:val="005645DC"/>
    <w:rsid w:val="0057696C"/>
    <w:rsid w:val="00582224"/>
    <w:rsid w:val="00585A75"/>
    <w:rsid w:val="00595E24"/>
    <w:rsid w:val="005A1792"/>
    <w:rsid w:val="005C1344"/>
    <w:rsid w:val="005C64DA"/>
    <w:rsid w:val="005D0A84"/>
    <w:rsid w:val="005E0461"/>
    <w:rsid w:val="005E5032"/>
    <w:rsid w:val="0060489C"/>
    <w:rsid w:val="00610D31"/>
    <w:rsid w:val="00621E6B"/>
    <w:rsid w:val="00622A3B"/>
    <w:rsid w:val="0063140B"/>
    <w:rsid w:val="00634E88"/>
    <w:rsid w:val="0063775C"/>
    <w:rsid w:val="00652663"/>
    <w:rsid w:val="00653314"/>
    <w:rsid w:val="00654981"/>
    <w:rsid w:val="00673F50"/>
    <w:rsid w:val="00675062"/>
    <w:rsid w:val="00675EEF"/>
    <w:rsid w:val="00687663"/>
    <w:rsid w:val="006A7B81"/>
    <w:rsid w:val="006B0161"/>
    <w:rsid w:val="006B5AFA"/>
    <w:rsid w:val="006B6AE1"/>
    <w:rsid w:val="006C6A3B"/>
    <w:rsid w:val="006D2FA2"/>
    <w:rsid w:val="006D5F41"/>
    <w:rsid w:val="006E1DA4"/>
    <w:rsid w:val="006E483F"/>
    <w:rsid w:val="006F76A7"/>
    <w:rsid w:val="00710112"/>
    <w:rsid w:val="00716926"/>
    <w:rsid w:val="0076084F"/>
    <w:rsid w:val="00784D6A"/>
    <w:rsid w:val="007979E8"/>
    <w:rsid w:val="007A613D"/>
    <w:rsid w:val="007B37BB"/>
    <w:rsid w:val="007C0858"/>
    <w:rsid w:val="007D23DB"/>
    <w:rsid w:val="007D4B7D"/>
    <w:rsid w:val="007D58F5"/>
    <w:rsid w:val="007E0F40"/>
    <w:rsid w:val="007E1003"/>
    <w:rsid w:val="007F673F"/>
    <w:rsid w:val="007F73B8"/>
    <w:rsid w:val="007F7A31"/>
    <w:rsid w:val="00811DC7"/>
    <w:rsid w:val="0081713A"/>
    <w:rsid w:val="00832F3B"/>
    <w:rsid w:val="00833708"/>
    <w:rsid w:val="00843E35"/>
    <w:rsid w:val="00844436"/>
    <w:rsid w:val="00855571"/>
    <w:rsid w:val="00865C36"/>
    <w:rsid w:val="008660E9"/>
    <w:rsid w:val="0086660C"/>
    <w:rsid w:val="00875B65"/>
    <w:rsid w:val="00875F2D"/>
    <w:rsid w:val="00876B6F"/>
    <w:rsid w:val="00893455"/>
    <w:rsid w:val="008B1C9C"/>
    <w:rsid w:val="008B4964"/>
    <w:rsid w:val="008B508B"/>
    <w:rsid w:val="008C6D13"/>
    <w:rsid w:val="008D2C21"/>
    <w:rsid w:val="008D31E2"/>
    <w:rsid w:val="008D7401"/>
    <w:rsid w:val="008E62AA"/>
    <w:rsid w:val="00916054"/>
    <w:rsid w:val="00941662"/>
    <w:rsid w:val="0094752C"/>
    <w:rsid w:val="009479F4"/>
    <w:rsid w:val="00967698"/>
    <w:rsid w:val="009731E3"/>
    <w:rsid w:val="00973FCD"/>
    <w:rsid w:val="0098547A"/>
    <w:rsid w:val="009979EF"/>
    <w:rsid w:val="009A08A4"/>
    <w:rsid w:val="009A3894"/>
    <w:rsid w:val="009D0939"/>
    <w:rsid w:val="009D7574"/>
    <w:rsid w:val="009F2B71"/>
    <w:rsid w:val="00A057C9"/>
    <w:rsid w:val="00A206B3"/>
    <w:rsid w:val="00A30B16"/>
    <w:rsid w:val="00A42385"/>
    <w:rsid w:val="00A46723"/>
    <w:rsid w:val="00A46755"/>
    <w:rsid w:val="00A94322"/>
    <w:rsid w:val="00AA5947"/>
    <w:rsid w:val="00AA6C2E"/>
    <w:rsid w:val="00AB0714"/>
    <w:rsid w:val="00AC6404"/>
    <w:rsid w:val="00AE1497"/>
    <w:rsid w:val="00AE5044"/>
    <w:rsid w:val="00AF1422"/>
    <w:rsid w:val="00AF2C01"/>
    <w:rsid w:val="00AF4726"/>
    <w:rsid w:val="00B04D14"/>
    <w:rsid w:val="00B134A7"/>
    <w:rsid w:val="00B2349B"/>
    <w:rsid w:val="00B34FD4"/>
    <w:rsid w:val="00B46D9D"/>
    <w:rsid w:val="00B508BD"/>
    <w:rsid w:val="00B6335C"/>
    <w:rsid w:val="00B708B6"/>
    <w:rsid w:val="00B941DE"/>
    <w:rsid w:val="00B965B7"/>
    <w:rsid w:val="00BA3016"/>
    <w:rsid w:val="00BA47CD"/>
    <w:rsid w:val="00BB2A9E"/>
    <w:rsid w:val="00BB5A39"/>
    <w:rsid w:val="00BB5A8B"/>
    <w:rsid w:val="00BB62B3"/>
    <w:rsid w:val="00BB7D7A"/>
    <w:rsid w:val="00BB7F07"/>
    <w:rsid w:val="00BC2561"/>
    <w:rsid w:val="00BD65EA"/>
    <w:rsid w:val="00BD6EB2"/>
    <w:rsid w:val="00BE6617"/>
    <w:rsid w:val="00C13281"/>
    <w:rsid w:val="00C13329"/>
    <w:rsid w:val="00C14995"/>
    <w:rsid w:val="00C22F56"/>
    <w:rsid w:val="00C30192"/>
    <w:rsid w:val="00C306C2"/>
    <w:rsid w:val="00C34B0B"/>
    <w:rsid w:val="00C40A3C"/>
    <w:rsid w:val="00C42436"/>
    <w:rsid w:val="00C52E88"/>
    <w:rsid w:val="00C549D2"/>
    <w:rsid w:val="00C54DF5"/>
    <w:rsid w:val="00C64410"/>
    <w:rsid w:val="00C65B3D"/>
    <w:rsid w:val="00C65B8A"/>
    <w:rsid w:val="00C67EBC"/>
    <w:rsid w:val="00C83CC2"/>
    <w:rsid w:val="00C978A1"/>
    <w:rsid w:val="00CA3B36"/>
    <w:rsid w:val="00CA6153"/>
    <w:rsid w:val="00CC5DAF"/>
    <w:rsid w:val="00CC6FE4"/>
    <w:rsid w:val="00CD336F"/>
    <w:rsid w:val="00CE445D"/>
    <w:rsid w:val="00CE5013"/>
    <w:rsid w:val="00CF1E42"/>
    <w:rsid w:val="00D13E5E"/>
    <w:rsid w:val="00D25318"/>
    <w:rsid w:val="00D41484"/>
    <w:rsid w:val="00D476A9"/>
    <w:rsid w:val="00D51C66"/>
    <w:rsid w:val="00D63236"/>
    <w:rsid w:val="00D73B48"/>
    <w:rsid w:val="00D73B58"/>
    <w:rsid w:val="00D80802"/>
    <w:rsid w:val="00D91C91"/>
    <w:rsid w:val="00DA0320"/>
    <w:rsid w:val="00DA7D72"/>
    <w:rsid w:val="00DB091C"/>
    <w:rsid w:val="00DB3F49"/>
    <w:rsid w:val="00DC5446"/>
    <w:rsid w:val="00DE0E3F"/>
    <w:rsid w:val="00DE38E8"/>
    <w:rsid w:val="00DF14DC"/>
    <w:rsid w:val="00DF1552"/>
    <w:rsid w:val="00E13C49"/>
    <w:rsid w:val="00E14505"/>
    <w:rsid w:val="00E1688C"/>
    <w:rsid w:val="00E207A9"/>
    <w:rsid w:val="00E220AB"/>
    <w:rsid w:val="00E32601"/>
    <w:rsid w:val="00E40C71"/>
    <w:rsid w:val="00E7372B"/>
    <w:rsid w:val="00E90236"/>
    <w:rsid w:val="00E91EE9"/>
    <w:rsid w:val="00E94181"/>
    <w:rsid w:val="00E96F2C"/>
    <w:rsid w:val="00EA7D0C"/>
    <w:rsid w:val="00EB419B"/>
    <w:rsid w:val="00EB59DB"/>
    <w:rsid w:val="00EC209C"/>
    <w:rsid w:val="00EC49BA"/>
    <w:rsid w:val="00EF0111"/>
    <w:rsid w:val="00EF1EFF"/>
    <w:rsid w:val="00EF45BC"/>
    <w:rsid w:val="00EF713A"/>
    <w:rsid w:val="00F35B04"/>
    <w:rsid w:val="00F46858"/>
    <w:rsid w:val="00F526C5"/>
    <w:rsid w:val="00F81DCD"/>
    <w:rsid w:val="00F854F1"/>
    <w:rsid w:val="00F865B2"/>
    <w:rsid w:val="00F9132C"/>
    <w:rsid w:val="00F93698"/>
    <w:rsid w:val="00FA0EBA"/>
    <w:rsid w:val="00FA5DB9"/>
    <w:rsid w:val="00FB144D"/>
    <w:rsid w:val="00FB1A92"/>
    <w:rsid w:val="00FB1ABB"/>
    <w:rsid w:val="00FC1D3B"/>
    <w:rsid w:val="00FC362E"/>
    <w:rsid w:val="00FC72EA"/>
    <w:rsid w:val="00FE1F59"/>
    <w:rsid w:val="00FE2D3F"/>
    <w:rsid w:val="00FE689D"/>
    <w:rsid w:val="00FF4F47"/>
    <w:rsid w:val="00FF62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A13D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6588"/>
    <w:rPr>
      <w:rFonts w:ascii="Lucida Grande" w:hAnsi="Lucida Grande"/>
      <w:sz w:val="18"/>
      <w:szCs w:val="18"/>
    </w:rPr>
  </w:style>
  <w:style w:type="paragraph" w:customStyle="1" w:styleId="LargeItalicHeading">
    <w:name w:val="Large Italic Heading"/>
    <w:basedOn w:val="Normal"/>
    <w:autoRedefine/>
    <w:rsid w:val="00C205E9"/>
    <w:pPr>
      <w:jc w:val="both"/>
      <w:outlineLvl w:val="0"/>
    </w:pPr>
    <w:rPr>
      <w:rFonts w:ascii="Garamond" w:hAnsi="Garamond" w:cs="Arial"/>
      <w:i/>
      <w:spacing w:val="20"/>
      <w:sz w:val="32"/>
    </w:rPr>
  </w:style>
  <w:style w:type="paragraph" w:styleId="Header">
    <w:name w:val="header"/>
    <w:basedOn w:val="Normal"/>
    <w:link w:val="HeaderChar"/>
    <w:uiPriority w:val="99"/>
    <w:unhideWhenUsed/>
    <w:rsid w:val="0054058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4058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4058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4058B"/>
    <w:rPr>
      <w:sz w:val="24"/>
    </w:rPr>
  </w:style>
  <w:style w:type="paragraph" w:styleId="ListParagraph">
    <w:name w:val="List Paragraph"/>
    <w:basedOn w:val="Normal"/>
    <w:uiPriority w:val="34"/>
    <w:qFormat/>
    <w:rsid w:val="003D42F4"/>
    <w:pPr>
      <w:ind w:left="720"/>
    </w:pPr>
  </w:style>
  <w:style w:type="table" w:styleId="TableGrid">
    <w:name w:val="Table Grid"/>
    <w:basedOn w:val="TableNormal"/>
    <w:rsid w:val="00E3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08A4"/>
    <w:rPr>
      <w:color w:val="0000FF"/>
      <w:u w:val="single"/>
    </w:rPr>
  </w:style>
  <w:style w:type="paragraph" w:customStyle="1" w:styleId="Default">
    <w:name w:val="Default"/>
    <w:rsid w:val="00CF1E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E689D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7D23DB"/>
    <w:pPr>
      <w:spacing w:line="191" w:lineRule="atLeast"/>
    </w:pPr>
    <w:rPr>
      <w:rFonts w:ascii="E+H Serif Light" w:hAnsi="E+H Serif Light"/>
      <w:color w:val="auto"/>
    </w:rPr>
  </w:style>
  <w:style w:type="character" w:styleId="IntenseReference">
    <w:name w:val="Intense Reference"/>
    <w:basedOn w:val="DefaultParagraphFont"/>
    <w:qFormat/>
    <w:rsid w:val="006E1DA4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A13D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6588"/>
    <w:rPr>
      <w:rFonts w:ascii="Lucida Grande" w:hAnsi="Lucida Grande"/>
      <w:sz w:val="18"/>
      <w:szCs w:val="18"/>
    </w:rPr>
  </w:style>
  <w:style w:type="paragraph" w:customStyle="1" w:styleId="LargeItalicHeading">
    <w:name w:val="Large Italic Heading"/>
    <w:basedOn w:val="Normal"/>
    <w:autoRedefine/>
    <w:rsid w:val="00C205E9"/>
    <w:pPr>
      <w:jc w:val="both"/>
      <w:outlineLvl w:val="0"/>
    </w:pPr>
    <w:rPr>
      <w:rFonts w:ascii="Garamond" w:hAnsi="Garamond" w:cs="Arial"/>
      <w:i/>
      <w:spacing w:val="20"/>
      <w:sz w:val="32"/>
    </w:rPr>
  </w:style>
  <w:style w:type="paragraph" w:styleId="Header">
    <w:name w:val="header"/>
    <w:basedOn w:val="Normal"/>
    <w:link w:val="HeaderChar"/>
    <w:uiPriority w:val="99"/>
    <w:unhideWhenUsed/>
    <w:rsid w:val="0054058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4058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4058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4058B"/>
    <w:rPr>
      <w:sz w:val="24"/>
    </w:rPr>
  </w:style>
  <w:style w:type="paragraph" w:styleId="ListParagraph">
    <w:name w:val="List Paragraph"/>
    <w:basedOn w:val="Normal"/>
    <w:uiPriority w:val="34"/>
    <w:qFormat/>
    <w:rsid w:val="003D42F4"/>
    <w:pPr>
      <w:ind w:left="720"/>
    </w:pPr>
  </w:style>
  <w:style w:type="table" w:styleId="TableGrid">
    <w:name w:val="Table Grid"/>
    <w:basedOn w:val="TableNormal"/>
    <w:rsid w:val="00E3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08A4"/>
    <w:rPr>
      <w:color w:val="0000FF"/>
      <w:u w:val="single"/>
    </w:rPr>
  </w:style>
  <w:style w:type="paragraph" w:customStyle="1" w:styleId="Default">
    <w:name w:val="Default"/>
    <w:rsid w:val="00CF1E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E689D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7D23DB"/>
    <w:pPr>
      <w:spacing w:line="191" w:lineRule="atLeast"/>
    </w:pPr>
    <w:rPr>
      <w:rFonts w:ascii="E+H Serif Light" w:hAnsi="E+H Serif Light"/>
      <w:color w:val="auto"/>
    </w:rPr>
  </w:style>
  <w:style w:type="character" w:styleId="IntenseReference">
    <w:name w:val="Intense Reference"/>
    <w:basedOn w:val="DefaultParagraphFont"/>
    <w:qFormat/>
    <w:rsid w:val="006E1DA4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E1400-AA46-4EAA-A351-EA963533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Nordion</Company>
  <LinksUpToDate>false</LinksUpToDate>
  <CharactersWithSpaces>6300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ADAMS</dc:creator>
  <cp:lastModifiedBy>Fulford, Greg</cp:lastModifiedBy>
  <cp:revision>4</cp:revision>
  <cp:lastPrinted>2014-03-08T19:34:00Z</cp:lastPrinted>
  <dcterms:created xsi:type="dcterms:W3CDTF">2018-01-04T16:55:00Z</dcterms:created>
  <dcterms:modified xsi:type="dcterms:W3CDTF">2018-01-05T13:39:00Z</dcterms:modified>
</cp:coreProperties>
</file>